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870" w14:textId="77777777" w:rsidR="00467967" w:rsidRDefault="005F112F"/>
    <w:p w14:paraId="7CBAAA1C" w14:textId="0790C251" w:rsidR="00F479E3" w:rsidRDefault="00F479E3"/>
    <w:p w14:paraId="577B4583" w14:textId="2F269340" w:rsidR="00446255" w:rsidRDefault="00446255"/>
    <w:p w14:paraId="75EBBDDC" w14:textId="77777777" w:rsidR="00446255" w:rsidRDefault="00446255"/>
    <w:p w14:paraId="201CE3D1" w14:textId="77777777" w:rsidR="00F479E3" w:rsidRPr="004922AE" w:rsidRDefault="00F479E3">
      <w:pPr>
        <w:rPr>
          <w:b/>
        </w:rPr>
      </w:pPr>
    </w:p>
    <w:p w14:paraId="0F5C9548" w14:textId="778DE1D2" w:rsidR="00F479E3" w:rsidRPr="004922AE" w:rsidRDefault="00446255" w:rsidP="00446255">
      <w:pPr>
        <w:jc w:val="center"/>
        <w:rPr>
          <w:b/>
        </w:rPr>
      </w:pPr>
      <w:r w:rsidRPr="004922AE">
        <w:rPr>
          <w:b/>
        </w:rPr>
        <w:t xml:space="preserve">Assessment </w:t>
      </w:r>
      <w:r w:rsidR="008C60E1" w:rsidRPr="004922AE">
        <w:rPr>
          <w:b/>
        </w:rPr>
        <w:t>2</w:t>
      </w:r>
      <w:r w:rsidR="00525B84" w:rsidRPr="004922AE">
        <w:rPr>
          <w:b/>
        </w:rPr>
        <w:t>-</w:t>
      </w:r>
      <w:r w:rsidR="008C60E1" w:rsidRPr="004922AE">
        <w:rPr>
          <w:b/>
        </w:rPr>
        <w:t xml:space="preserve"> Technology Use Proposal</w:t>
      </w:r>
      <w:r w:rsidR="004922AE" w:rsidRPr="004922AE">
        <w:rPr>
          <w:b/>
        </w:rPr>
        <w:t xml:space="preserve">: </w:t>
      </w:r>
      <w:r w:rsidR="004922AE" w:rsidRPr="004922AE">
        <w:rPr>
          <w:b/>
        </w:rPr>
        <w:t>Digital Resources and Online Educational Platforms</w:t>
      </w:r>
      <w:r w:rsidR="004922AE" w:rsidRPr="004922AE">
        <w:rPr>
          <w:b/>
        </w:rPr>
        <w:t xml:space="preserve">- </w:t>
      </w:r>
      <w:r w:rsidR="004922AE" w:rsidRPr="004922AE">
        <w:rPr>
          <w:rFonts w:eastAsia="Weibei SC"/>
          <w:b/>
          <w:bCs/>
        </w:rPr>
        <w:t>Im</w:t>
      </w:r>
      <w:r w:rsidR="004922AE" w:rsidRPr="004922AE">
        <w:rPr>
          <w:rFonts w:eastAsia="Weibei SC"/>
          <w:b/>
        </w:rPr>
        <w:t xml:space="preserve">proving </w:t>
      </w:r>
      <w:r w:rsidR="004922AE" w:rsidRPr="004922AE">
        <w:rPr>
          <w:b/>
        </w:rPr>
        <w:t>T</w:t>
      </w:r>
      <w:r w:rsidR="004922AE" w:rsidRPr="004922AE">
        <w:rPr>
          <w:rFonts w:eastAsia="Weibei SC"/>
          <w:b/>
        </w:rPr>
        <w:t xml:space="preserve">hird </w:t>
      </w:r>
      <w:r w:rsidR="004922AE" w:rsidRPr="004922AE">
        <w:rPr>
          <w:b/>
        </w:rPr>
        <w:t>G</w:t>
      </w:r>
      <w:r w:rsidR="004922AE" w:rsidRPr="004922AE">
        <w:rPr>
          <w:rFonts w:eastAsia="Weibei SC"/>
          <w:b/>
        </w:rPr>
        <w:t xml:space="preserve">rade English Language Arts </w:t>
      </w:r>
      <w:r w:rsidR="004922AE" w:rsidRPr="004922AE">
        <w:rPr>
          <w:b/>
        </w:rPr>
        <w:t>Pr</w:t>
      </w:r>
      <w:r w:rsidR="004922AE" w:rsidRPr="004922AE">
        <w:rPr>
          <w:rFonts w:eastAsia="Weibei SC"/>
          <w:b/>
        </w:rPr>
        <w:t xml:space="preserve">oficiency </w:t>
      </w:r>
      <w:r w:rsidR="00CF6126">
        <w:rPr>
          <w:b/>
        </w:rPr>
        <w:t>Rates</w:t>
      </w:r>
    </w:p>
    <w:p w14:paraId="58F409D7" w14:textId="252A6F39" w:rsidR="00133493" w:rsidRDefault="00133493"/>
    <w:p w14:paraId="67F9A9AF" w14:textId="6FEF7F74" w:rsidR="00133493" w:rsidRDefault="00133493"/>
    <w:p w14:paraId="51F98006" w14:textId="6BB13BD2" w:rsidR="00133493" w:rsidRDefault="00133493"/>
    <w:p w14:paraId="0950D8BC" w14:textId="7D975812" w:rsidR="00133493" w:rsidRDefault="00133493"/>
    <w:p w14:paraId="321A9816" w14:textId="41494D0C" w:rsidR="00133493" w:rsidRDefault="00133493"/>
    <w:p w14:paraId="317BB428" w14:textId="71BB1F72" w:rsidR="00133493" w:rsidRDefault="00133493"/>
    <w:p w14:paraId="32B24C1B" w14:textId="77777777" w:rsidR="00133493" w:rsidRDefault="00133493"/>
    <w:p w14:paraId="04749873" w14:textId="77777777" w:rsidR="00F479E3" w:rsidRPr="006D4DA6" w:rsidRDefault="00F479E3" w:rsidP="00F479E3">
      <w:pPr>
        <w:jc w:val="center"/>
      </w:pPr>
    </w:p>
    <w:p w14:paraId="08092502" w14:textId="7A721AED" w:rsidR="00F479E3" w:rsidRPr="006D4DA6" w:rsidRDefault="00B52CF0" w:rsidP="007060AB">
      <w:pPr>
        <w:spacing w:line="480" w:lineRule="auto"/>
        <w:jc w:val="center"/>
      </w:pPr>
      <w:r w:rsidRPr="006D4DA6">
        <w:t xml:space="preserve">Deniz Ismailoff </w:t>
      </w:r>
    </w:p>
    <w:p w14:paraId="2A78D83E" w14:textId="3B7076B0" w:rsidR="00B52CF0" w:rsidRPr="006D4DA6" w:rsidRDefault="00B52CF0" w:rsidP="007060AB">
      <w:pPr>
        <w:spacing w:line="480" w:lineRule="auto"/>
        <w:jc w:val="center"/>
      </w:pPr>
      <w:r w:rsidRPr="006D4DA6">
        <w:t>New Jersey City University</w:t>
      </w:r>
    </w:p>
    <w:p w14:paraId="093DF331" w14:textId="0A991C6D" w:rsidR="00F479E3" w:rsidRPr="006D4DA6" w:rsidRDefault="00B52CF0" w:rsidP="007060AB">
      <w:pPr>
        <w:spacing w:line="480" w:lineRule="auto"/>
        <w:jc w:val="center"/>
      </w:pPr>
      <w:r w:rsidRPr="006D4DA6">
        <w:t>EDTC 80</w:t>
      </w:r>
      <w:r w:rsidR="008C60E1">
        <w:t>2</w:t>
      </w:r>
      <w:r w:rsidR="00F479E3" w:rsidRPr="006D4DA6">
        <w:t>:</w:t>
      </w:r>
      <w:r w:rsidR="00446255">
        <w:t xml:space="preserve"> </w:t>
      </w:r>
      <w:r w:rsidR="008C60E1">
        <w:t>Principles of Educational Technology Leadership</w:t>
      </w:r>
    </w:p>
    <w:p w14:paraId="28A761CA" w14:textId="6EC825F7" w:rsidR="00F479E3" w:rsidRPr="006D4DA6" w:rsidRDefault="00F479E3" w:rsidP="007060AB">
      <w:pPr>
        <w:spacing w:line="480" w:lineRule="auto"/>
        <w:jc w:val="center"/>
      </w:pPr>
      <w:r w:rsidRPr="006D4DA6">
        <w:t xml:space="preserve">Dr. </w:t>
      </w:r>
      <w:r w:rsidR="008C60E1">
        <w:t>Christopher D. Carnahan</w:t>
      </w:r>
    </w:p>
    <w:p w14:paraId="385F44B2" w14:textId="2C109BFC" w:rsidR="00F479E3" w:rsidRPr="006D4DA6" w:rsidRDefault="008C60E1" w:rsidP="007060AB">
      <w:pPr>
        <w:spacing w:line="480" w:lineRule="auto"/>
        <w:jc w:val="center"/>
      </w:pPr>
      <w:r>
        <w:t>August 3</w:t>
      </w:r>
      <w:r w:rsidR="00F479E3" w:rsidRPr="006D4DA6">
        <w:t>, 20</w:t>
      </w:r>
      <w:r w:rsidR="006D4DA6" w:rsidRPr="006D4DA6">
        <w:t>20</w:t>
      </w:r>
    </w:p>
    <w:p w14:paraId="2218049F" w14:textId="4E73E4EA" w:rsidR="009E3CE8" w:rsidRDefault="009E3CE8" w:rsidP="009E3CE8">
      <w:pPr>
        <w:spacing w:line="480" w:lineRule="auto"/>
      </w:pPr>
    </w:p>
    <w:p w14:paraId="4F21D21A" w14:textId="5F861B44" w:rsidR="009E3CE8" w:rsidRDefault="009E3CE8" w:rsidP="009E3CE8">
      <w:pPr>
        <w:spacing w:line="480" w:lineRule="auto"/>
      </w:pPr>
    </w:p>
    <w:p w14:paraId="36D0E827" w14:textId="076701F4" w:rsidR="009E3CE8" w:rsidRDefault="009E3CE8" w:rsidP="009E3CE8">
      <w:pPr>
        <w:spacing w:line="480" w:lineRule="auto"/>
      </w:pPr>
    </w:p>
    <w:p w14:paraId="15C2A2B1" w14:textId="66E82ADA" w:rsidR="009E3CE8" w:rsidRDefault="009E3CE8" w:rsidP="009E3CE8">
      <w:pPr>
        <w:spacing w:line="480" w:lineRule="auto"/>
      </w:pPr>
    </w:p>
    <w:p w14:paraId="73C0E321" w14:textId="49D66572" w:rsidR="009E3CE8" w:rsidRDefault="009E3CE8" w:rsidP="009E3CE8">
      <w:pPr>
        <w:spacing w:line="480" w:lineRule="auto"/>
      </w:pPr>
    </w:p>
    <w:p w14:paraId="40FE9504" w14:textId="01A782B0" w:rsidR="009E3CE8" w:rsidRDefault="009E3CE8" w:rsidP="009E3CE8">
      <w:pPr>
        <w:spacing w:line="480" w:lineRule="auto"/>
      </w:pPr>
    </w:p>
    <w:p w14:paraId="124D5150" w14:textId="3B352675" w:rsidR="009E3CE8" w:rsidRDefault="009E3CE8" w:rsidP="009E3CE8">
      <w:pPr>
        <w:spacing w:line="480" w:lineRule="auto"/>
      </w:pPr>
    </w:p>
    <w:p w14:paraId="011124EC" w14:textId="09C21567" w:rsidR="009E3CE8" w:rsidRDefault="009E3CE8" w:rsidP="009E3CE8">
      <w:pPr>
        <w:spacing w:line="480" w:lineRule="auto"/>
      </w:pPr>
    </w:p>
    <w:p w14:paraId="75BBD593" w14:textId="41FD66D8" w:rsidR="009E3CE8" w:rsidRDefault="009E3CE8" w:rsidP="009E3CE8">
      <w:pPr>
        <w:spacing w:line="480" w:lineRule="auto"/>
      </w:pPr>
    </w:p>
    <w:p w14:paraId="315F470F" w14:textId="2F35D514" w:rsidR="009E3CE8" w:rsidRDefault="009E3CE8" w:rsidP="009E3CE8">
      <w:pPr>
        <w:spacing w:line="480" w:lineRule="auto"/>
      </w:pPr>
    </w:p>
    <w:p w14:paraId="3F3C36CF" w14:textId="77777777" w:rsidR="009E3CE8" w:rsidRPr="009E3CE8" w:rsidRDefault="009E3CE8" w:rsidP="009E3CE8">
      <w:pPr>
        <w:spacing w:line="480" w:lineRule="auto"/>
      </w:pPr>
    </w:p>
    <w:p w14:paraId="0E75FE9D" w14:textId="1D0C88EB" w:rsidR="009E3CE8" w:rsidRPr="004922AE" w:rsidRDefault="009E3CE8" w:rsidP="009E3CE8">
      <w:pPr>
        <w:jc w:val="center"/>
      </w:pPr>
      <w:r w:rsidRPr="004922AE">
        <w:lastRenderedPageBreak/>
        <w:t xml:space="preserve">Assessment 2- </w:t>
      </w:r>
      <w:r w:rsidR="004922AE" w:rsidRPr="004922AE">
        <w:t xml:space="preserve">Technology Use Proposal: Digital Resources and Online Educational Platforms- </w:t>
      </w:r>
      <w:r w:rsidR="004922AE" w:rsidRPr="004922AE">
        <w:rPr>
          <w:rFonts w:eastAsia="Weibei SC"/>
          <w:bCs/>
        </w:rPr>
        <w:t>Im</w:t>
      </w:r>
      <w:r w:rsidR="004922AE" w:rsidRPr="004922AE">
        <w:rPr>
          <w:rFonts w:eastAsia="Weibei SC"/>
        </w:rPr>
        <w:t xml:space="preserve">proving </w:t>
      </w:r>
      <w:r w:rsidR="004922AE" w:rsidRPr="004922AE">
        <w:t>T</w:t>
      </w:r>
      <w:r w:rsidR="004922AE" w:rsidRPr="004922AE">
        <w:rPr>
          <w:rFonts w:eastAsia="Weibei SC"/>
        </w:rPr>
        <w:t xml:space="preserve">hird </w:t>
      </w:r>
      <w:r w:rsidR="004922AE" w:rsidRPr="004922AE">
        <w:t>G</w:t>
      </w:r>
      <w:r w:rsidR="004922AE" w:rsidRPr="004922AE">
        <w:rPr>
          <w:rFonts w:eastAsia="Weibei SC"/>
        </w:rPr>
        <w:t xml:space="preserve">rade English Language Arts </w:t>
      </w:r>
      <w:r w:rsidR="004922AE" w:rsidRPr="004922AE">
        <w:t>Pr</w:t>
      </w:r>
      <w:r w:rsidR="004922AE" w:rsidRPr="004922AE">
        <w:rPr>
          <w:rFonts w:eastAsia="Weibei SC"/>
        </w:rPr>
        <w:t xml:space="preserve">oficiency </w:t>
      </w:r>
      <w:r w:rsidR="00CF6126">
        <w:t>Rates</w:t>
      </w:r>
    </w:p>
    <w:p w14:paraId="04C74DDD" w14:textId="77777777" w:rsidR="00BA0C3C" w:rsidRDefault="00BA0C3C" w:rsidP="00F479E3">
      <w:pPr>
        <w:jc w:val="center"/>
        <w:rPr>
          <w:b/>
        </w:rPr>
      </w:pPr>
    </w:p>
    <w:p w14:paraId="0115D860" w14:textId="77777777" w:rsidR="00DD0833" w:rsidRPr="00204FC8" w:rsidRDefault="00C97B4A" w:rsidP="00204FC8">
      <w:pPr>
        <w:spacing w:line="480" w:lineRule="auto"/>
        <w:ind w:firstLine="720"/>
        <w:jc w:val="center"/>
        <w:rPr>
          <w:b/>
          <w:color w:val="000000" w:themeColor="text1"/>
        </w:rPr>
      </w:pPr>
      <w:r w:rsidRPr="00204FC8">
        <w:rPr>
          <w:b/>
          <w:color w:val="000000" w:themeColor="text1"/>
        </w:rPr>
        <w:t xml:space="preserve">Rationale </w:t>
      </w:r>
    </w:p>
    <w:p w14:paraId="061CB032" w14:textId="1C1FB6C4" w:rsidR="00DD0833" w:rsidRPr="00204FC8" w:rsidRDefault="00DD0833" w:rsidP="00204FC8">
      <w:pPr>
        <w:spacing w:line="480" w:lineRule="auto"/>
        <w:ind w:firstLine="720"/>
        <w:rPr>
          <w:b/>
          <w:color w:val="000000" w:themeColor="text1"/>
        </w:rPr>
      </w:pPr>
      <w:r w:rsidRPr="00204FC8">
        <w:rPr>
          <w:color w:val="0E101A"/>
        </w:rPr>
        <w:t>Working in the education field in urban districts for over 13 years, I recognize the diversity of learning styles amongst students. As a leader, my vision is to see students venture forth in life after school with real wisdom and individual purpose for making a positive difference in the world ahead. I also believe that providing a variety of strategies, methods, and models makes learning accessible and exciting for all learning levels. In order to make this vision possible, the quality of education</w:t>
      </w:r>
      <w:r w:rsidR="00CF6126">
        <w:rPr>
          <w:color w:val="0E101A"/>
        </w:rPr>
        <w:t xml:space="preserve"> must be improved</w:t>
      </w:r>
      <w:r w:rsidRPr="00204FC8">
        <w:rPr>
          <w:color w:val="0E101A"/>
        </w:rPr>
        <w:t>. This technology use proposal is to improve the quality of third-grade instruction utilizing data grounded on our school’s needs assessments by utilizing digital resources, online educational platforms, and targeted standard/skills-based instruction to drive student achievement.</w:t>
      </w:r>
    </w:p>
    <w:p w14:paraId="15A01EDF" w14:textId="3D503116" w:rsidR="00DD0833" w:rsidRPr="00204FC8" w:rsidRDefault="00DD0833" w:rsidP="00204FC8">
      <w:pPr>
        <w:pStyle w:val="NormalWeb"/>
        <w:spacing w:before="0" w:beforeAutospacing="0" w:after="0" w:afterAutospacing="0" w:line="480" w:lineRule="auto"/>
        <w:ind w:firstLine="720"/>
        <w:rPr>
          <w:color w:val="0E101A"/>
        </w:rPr>
      </w:pPr>
      <w:r w:rsidRPr="00204FC8">
        <w:rPr>
          <w:color w:val="0E101A"/>
        </w:rPr>
        <w:t>The Paterson Arts and Science Charter School’s (K-3 Elementary Campus) 201</w:t>
      </w:r>
      <w:r w:rsidR="00CF6126">
        <w:rPr>
          <w:color w:val="0E101A"/>
        </w:rPr>
        <w:t>9</w:t>
      </w:r>
      <w:r w:rsidRPr="00204FC8">
        <w:rPr>
          <w:color w:val="0E101A"/>
        </w:rPr>
        <w:t>-20</w:t>
      </w:r>
      <w:r w:rsidR="00CF6126">
        <w:rPr>
          <w:color w:val="0E101A"/>
        </w:rPr>
        <w:t xml:space="preserve">20 </w:t>
      </w:r>
      <w:r w:rsidRPr="00204FC8">
        <w:rPr>
          <w:color w:val="0E101A"/>
        </w:rPr>
        <w:t xml:space="preserve">needs assessment has demonstrated demand in redefining test-taking strategies and analyzing academic data to increase standardized test scores. One of the best ways to advance a school’s profile is to improve student achievement. The proposal is to improve student achievement through instant formative, and summative assessments on digital platforms (Accelerated Reader, STAR Reader, and Edulastic) with immediate feedback, collaborative and student-led instruction, standard/skill-based centers, and rigorous morning and afterschool tutorials </w:t>
      </w:r>
      <w:r w:rsidR="00CF6126" w:rsidRPr="00204FC8">
        <w:rPr>
          <w:color w:val="0E101A"/>
        </w:rPr>
        <w:t>targeting</w:t>
      </w:r>
      <w:r w:rsidRPr="00204FC8">
        <w:rPr>
          <w:color w:val="0E101A"/>
        </w:rPr>
        <w:t xml:space="preserve"> standards from scores on the digital platform assessments. By conducting a needs assessment, evaluating data, and providing standard-based instruction, the action steps, methodology, and strategies required to improve English Language Arts instruction will be understood, which in return, will increase standardized test scores. Thus, analyzing the academic data from the digital standard-based learning platforms and utilizing it will better provide the proper development and </w:t>
      </w:r>
      <w:r w:rsidRPr="00204FC8">
        <w:rPr>
          <w:color w:val="0E101A"/>
        </w:rPr>
        <w:lastRenderedPageBreak/>
        <w:t>implementation plan to increase third grade English Language Arts proficiency rates on standardized tests.</w:t>
      </w:r>
    </w:p>
    <w:p w14:paraId="3ACD0709" w14:textId="77777777" w:rsidR="00DD0833" w:rsidRPr="00204FC8" w:rsidRDefault="00DD0833" w:rsidP="00204FC8">
      <w:pPr>
        <w:pStyle w:val="NormalWeb"/>
        <w:spacing w:before="0" w:beforeAutospacing="0" w:after="0" w:afterAutospacing="0" w:line="480" w:lineRule="auto"/>
        <w:jc w:val="center"/>
        <w:rPr>
          <w:color w:val="0E101A"/>
        </w:rPr>
      </w:pPr>
      <w:r w:rsidRPr="00204FC8">
        <w:rPr>
          <w:rStyle w:val="Strong"/>
          <w:color w:val="0E101A"/>
        </w:rPr>
        <w:t>Background and Research</w:t>
      </w:r>
    </w:p>
    <w:p w14:paraId="6693BCAF" w14:textId="5E486E07" w:rsidR="00DD0833" w:rsidRPr="00204FC8" w:rsidRDefault="00DD0833" w:rsidP="00204FC8">
      <w:pPr>
        <w:pStyle w:val="NormalWeb"/>
        <w:spacing w:before="0" w:beforeAutospacing="0" w:after="0" w:afterAutospacing="0" w:line="480" w:lineRule="auto"/>
        <w:ind w:firstLine="720"/>
        <w:rPr>
          <w:color w:val="0E101A"/>
        </w:rPr>
      </w:pPr>
      <w:r w:rsidRPr="00204FC8">
        <w:rPr>
          <w:color w:val="0E101A"/>
        </w:rPr>
        <w:t>Standardized test scores are significant in today's education. They partake in government funding to schools, teacher evaluation, and academic placements of students. While true intelligence and natural ability may limit how well some students perform on standardized tests, strategies, and material</w:t>
      </w:r>
      <w:r w:rsidR="00CF6126">
        <w:rPr>
          <w:color w:val="0E101A"/>
        </w:rPr>
        <w:t xml:space="preserve">s </w:t>
      </w:r>
      <w:r w:rsidRPr="00204FC8">
        <w:rPr>
          <w:color w:val="0E101A"/>
        </w:rPr>
        <w:t xml:space="preserve">educators </w:t>
      </w:r>
      <w:r w:rsidR="00CF6126">
        <w:rPr>
          <w:color w:val="0E101A"/>
        </w:rPr>
        <w:t xml:space="preserve">utilize indeed </w:t>
      </w:r>
      <w:r w:rsidRPr="00204FC8">
        <w:rPr>
          <w:color w:val="0E101A"/>
        </w:rPr>
        <w:t>help students reach their full potential (Jones &amp; Mueller, 2017). Research confirms that there are two critical methods in raising test scores on standardized tests: building cognitive flexibility with metacognitive strategies and teaching the curriculum, not to the test (Linn, 2000). If students do not have problem-solving strategies for learning content, then learning the content may be impossible. Also, teaching "to the test" actually lowers test scores. Studies show that teaching to the test promotes narrow, rigid thinking (Linn, 2000). Instead, students achieve better results when instruction is focused on the content represented on the test. </w:t>
      </w:r>
    </w:p>
    <w:p w14:paraId="4CBA6C4D" w14:textId="4CEAC622" w:rsidR="00DD0833" w:rsidRPr="00204FC8" w:rsidRDefault="00DD0833" w:rsidP="00CF6126">
      <w:pPr>
        <w:pStyle w:val="NormalWeb"/>
        <w:spacing w:before="0" w:beforeAutospacing="0" w:after="0" w:afterAutospacing="0" w:line="480" w:lineRule="auto"/>
        <w:ind w:firstLine="720"/>
        <w:rPr>
          <w:color w:val="0E101A"/>
        </w:rPr>
      </w:pPr>
      <w:r w:rsidRPr="00204FC8">
        <w:rPr>
          <w:color w:val="0E101A"/>
        </w:rPr>
        <w:t>Student motivation also plays an essential factor in standardized test scores. The motivational construct with academics, which includes perceptions of belonging and valuing within an academic context, with intrinsic/extrinsic motivation, and self-efficacy aids in increased test scores (Popham, 1999). In this effort, it is standards-aligned, engaging, and rigorous instruction and regular practice tests and benchmarks that help students and teachers tackle achievement gaps, develop and practice test-taking strategies, and manage test anxiety/stress</w:t>
      </w:r>
      <w:r w:rsidR="00E921F9">
        <w:rPr>
          <w:color w:val="0E101A"/>
        </w:rPr>
        <w:t xml:space="preserve"> (Walker et al. (2006)</w:t>
      </w:r>
      <w:r w:rsidRPr="00204FC8">
        <w:rPr>
          <w:color w:val="0E101A"/>
        </w:rPr>
        <w:t xml:space="preserve">. Therefore, teachers must be intentional when encouraging and motivating students before and after testing. Creating action plans also aid in developing test-taking strategies and focusing on standard-based questioning. The action plans will focus on </w:t>
      </w:r>
      <w:r w:rsidRPr="00204FC8">
        <w:rPr>
          <w:color w:val="0E101A"/>
        </w:rPr>
        <w:lastRenderedPageBreak/>
        <w:t xml:space="preserve">achievement gaps that will be addressed by implementing literacy approaches learned through professional developments and utilizing STAR, Accelerated Reader, and Edulastic. Nunnery et al. (2006) emphasize the importance of utilizing digital standard-based reading and comprehension platforms across grade levels. Students who utilize School Renaissance programs such as STAR and Accelerated Reader exhibit significantly higher academic growth. Thus, by analyzing data based on the </w:t>
      </w:r>
      <w:proofErr w:type="gramStart"/>
      <w:r w:rsidRPr="00204FC8">
        <w:rPr>
          <w:color w:val="0E101A"/>
        </w:rPr>
        <w:t>needs</w:t>
      </w:r>
      <w:proofErr w:type="gramEnd"/>
      <w:r w:rsidRPr="00204FC8">
        <w:rPr>
          <w:color w:val="0E101A"/>
        </w:rPr>
        <w:t xml:space="preserve"> assessment from test scores, specific standard-based educational platforms will be utilized to aid in increasing third-grade test scores. The rigorous morning and after-school tutorials will also utilize this digital platform where students will focus on specific differentiated standards-based questions centered on student needs.  </w:t>
      </w:r>
    </w:p>
    <w:p w14:paraId="26D9A0F0" w14:textId="77777777" w:rsidR="00DD0833" w:rsidRPr="00204FC8" w:rsidRDefault="00DD0833" w:rsidP="00204FC8">
      <w:pPr>
        <w:pStyle w:val="NormalWeb"/>
        <w:spacing w:before="0" w:beforeAutospacing="0" w:after="0" w:afterAutospacing="0" w:line="480" w:lineRule="auto"/>
        <w:jc w:val="center"/>
        <w:rPr>
          <w:color w:val="0E101A"/>
        </w:rPr>
      </w:pPr>
      <w:r w:rsidRPr="00204FC8">
        <w:rPr>
          <w:rStyle w:val="Strong"/>
          <w:color w:val="0E101A"/>
        </w:rPr>
        <w:t>Policy Consideration</w:t>
      </w:r>
    </w:p>
    <w:p w14:paraId="43FFCB8C" w14:textId="10C38775" w:rsidR="00DD0833" w:rsidRPr="00204FC8" w:rsidRDefault="00DD0833" w:rsidP="00CC651B">
      <w:pPr>
        <w:pStyle w:val="NormalWeb"/>
        <w:spacing w:before="0" w:beforeAutospacing="0" w:after="0" w:afterAutospacing="0" w:line="480" w:lineRule="auto"/>
        <w:ind w:firstLine="720"/>
        <w:rPr>
          <w:color w:val="0E101A"/>
        </w:rPr>
      </w:pPr>
      <w:r w:rsidRPr="00204FC8">
        <w:rPr>
          <w:color w:val="0E101A"/>
        </w:rPr>
        <w:t xml:space="preserve">Professional development is an annual requirement in New Jersey, where all educators must complete a minimum of 20 hours of learning each year (New Jersey Department of Education, 2014). As a public charter, Paterson Arts and Science Charter School follows New Jersey’s mandate, requiring teachers to attend training sessions selected by </w:t>
      </w:r>
      <w:r w:rsidR="00CC651B">
        <w:rPr>
          <w:color w:val="0E101A"/>
        </w:rPr>
        <w:t xml:space="preserve">school </w:t>
      </w:r>
      <w:r w:rsidRPr="00204FC8">
        <w:rPr>
          <w:color w:val="0E101A"/>
        </w:rPr>
        <w:t>administrators. In recent years with the adoption of the 1:1 Chromebook device program, most of the district’s professional development has focused on technology in the classroom. An effective technology-based professional development supports teachers’ technology integration. The professional development should be content-specific and focus on digital platforms that will be utilized for the fiscal school year (Yurtseven et al., 2020). Most professional development within the district ha</w:t>
      </w:r>
      <w:r w:rsidR="00CC651B">
        <w:rPr>
          <w:color w:val="0E101A"/>
        </w:rPr>
        <w:t>ve</w:t>
      </w:r>
      <w:r w:rsidRPr="00204FC8">
        <w:rPr>
          <w:color w:val="0E101A"/>
        </w:rPr>
        <w:t xml:space="preserve"> been formal workshops from trainers or companies. Harris et al. (2009) concluded that these sessions were not as valuable as discussing how technology can help achieve specific learning outcomes and integrate technology with different teaching strategies (p. 395). However, pedagogy-based professional development would be ineffective if the staff does not understand </w:t>
      </w:r>
      <w:r w:rsidRPr="00204FC8">
        <w:rPr>
          <w:color w:val="0E101A"/>
        </w:rPr>
        <w:lastRenderedPageBreak/>
        <w:t>how to “access, operate, and innovate with ever-changing digital tools” (Curwood, 2013, p. 92). Without the background knowledge of different technology tools, a discussion of application strategies cannot occur. Thus, all educators should be properly trained on the digital platforms that will be utilized to aid in increasing student reading, comprehension, and test scores.</w:t>
      </w:r>
    </w:p>
    <w:p w14:paraId="47308DB4" w14:textId="56E995C0" w:rsidR="00DD0833" w:rsidRPr="00204FC8" w:rsidRDefault="00DD0833" w:rsidP="00204FC8">
      <w:pPr>
        <w:pStyle w:val="NormalWeb"/>
        <w:spacing w:before="0" w:beforeAutospacing="0" w:after="0" w:afterAutospacing="0" w:line="480" w:lineRule="auto"/>
        <w:jc w:val="center"/>
        <w:rPr>
          <w:color w:val="0E101A"/>
        </w:rPr>
      </w:pPr>
      <w:r w:rsidRPr="00204FC8">
        <w:rPr>
          <w:rStyle w:val="Strong"/>
          <w:color w:val="0E101A"/>
        </w:rPr>
        <w:t>Description and Current State of Field</w:t>
      </w:r>
    </w:p>
    <w:p w14:paraId="2CB9160C" w14:textId="77777777" w:rsidR="00DD0833" w:rsidRPr="00204FC8" w:rsidRDefault="00DD0833" w:rsidP="00204FC8">
      <w:pPr>
        <w:pStyle w:val="NormalWeb"/>
        <w:spacing w:before="0" w:beforeAutospacing="0" w:after="0" w:afterAutospacing="0" w:line="480" w:lineRule="auto"/>
        <w:ind w:firstLine="720"/>
        <w:rPr>
          <w:color w:val="0E101A"/>
        </w:rPr>
      </w:pPr>
      <w:r w:rsidRPr="00204FC8">
        <w:rPr>
          <w:color w:val="0E101A"/>
        </w:rPr>
        <w:t>Creating action plans based on the digital educational platforms aid in developing test-taking strategies and focusing on standard-based questioning. The third-grade teachers will create action plans for their students utilizing data from the first NJSLA English Language Arts practice test. The action plans will be integrated into specific lessons utilizing digital resources and online educational platforms, centering specific skills/standards. The basic skills instructor will push into the third-grade English Language Arts classrooms once a week to support the struggling students with specific English Language Arts standards. The special education and ESL teacher will pull their students once a day and provide targeted support based on their students’ needs. The English Language Arts coach will also support the third-grade ELA teachers by providing best teaching standard-based practices for digital learning. As the academic leader, I will assist my teachers and students by providing mini-lessons, lesson planning suggestions, and standard-based questioning from Accelerated Reader during morning tutorials for struggling learners (Intervention Focus, Table 1). This specific standards-based one-on-one and small group instruction will be provided through the purchased educational online platforms aiding our struggling students by assisting with specific standards and providing challenging material for our enhanced learners. </w:t>
      </w:r>
    </w:p>
    <w:p w14:paraId="281EAA77" w14:textId="7BD31C12" w:rsidR="00F67C12" w:rsidRDefault="00DD0833" w:rsidP="00F67C12">
      <w:pPr>
        <w:pStyle w:val="NormalWeb"/>
        <w:spacing w:before="0" w:beforeAutospacing="0" w:after="0" w:afterAutospacing="0" w:line="480" w:lineRule="auto"/>
        <w:ind w:firstLine="720"/>
        <w:rPr>
          <w:color w:val="0E101A"/>
        </w:rPr>
      </w:pPr>
      <w:r w:rsidRPr="00204FC8">
        <w:rPr>
          <w:color w:val="0E101A"/>
        </w:rPr>
        <w:t xml:space="preserve">Additionally, our achievement gaps will be addressed by implementing literacy approaches learned through professional developments and utilizing STAR and Accelerated </w:t>
      </w:r>
      <w:r w:rsidRPr="00204FC8">
        <w:rPr>
          <w:color w:val="0E101A"/>
        </w:rPr>
        <w:lastRenderedPageBreak/>
        <w:t>Reader. Basic skills instructors for English Language Arts will also support learning development and skill mastery. Lastly, educational programs on technologies such as Edulastic and daily tutorials will display progression and growth in students’ weekly skills check scores (Intervention Plan, Table 2). The data that is collected will be utilized for the 2021-2022 needs assessment in preparation for student success.</w:t>
      </w:r>
    </w:p>
    <w:p w14:paraId="6CE8DF30" w14:textId="77777777" w:rsidR="00F67C12" w:rsidRPr="00204FC8" w:rsidRDefault="00F67C12" w:rsidP="00F67C12">
      <w:pPr>
        <w:pStyle w:val="NormalWeb"/>
        <w:spacing w:before="0" w:beforeAutospacing="0" w:after="0" w:afterAutospacing="0" w:line="480" w:lineRule="auto"/>
        <w:ind w:firstLine="720"/>
        <w:rPr>
          <w:color w:val="0E101A"/>
        </w:rPr>
      </w:pPr>
    </w:p>
    <w:p w14:paraId="747FBDCE" w14:textId="6E8890A2" w:rsidR="002F48AB" w:rsidRPr="00262606" w:rsidRDefault="00262606" w:rsidP="00F67C12">
      <w:pPr>
        <w:jc w:val="center"/>
        <w:rPr>
          <w:b/>
        </w:rPr>
      </w:pPr>
      <w:r>
        <w:rPr>
          <w:b/>
        </w:rPr>
        <w:t>Visual Model</w:t>
      </w:r>
      <w:r w:rsidR="00DD458C">
        <w:rPr>
          <w:b/>
        </w:rPr>
        <w:t xml:space="preserve">s </w:t>
      </w:r>
      <w:r w:rsidR="00D43622">
        <w:rPr>
          <w:b/>
        </w:rPr>
        <w:t>of Assessment Plan</w:t>
      </w:r>
    </w:p>
    <w:p w14:paraId="05321CD3" w14:textId="77777777" w:rsidR="00F67C12" w:rsidRDefault="00F67C12" w:rsidP="002B451E">
      <w:pPr>
        <w:pStyle w:val="Title"/>
        <w:jc w:val="left"/>
        <w:rPr>
          <w:b w:val="0"/>
        </w:rPr>
      </w:pPr>
    </w:p>
    <w:p w14:paraId="2CD4450D" w14:textId="6669D58B" w:rsidR="00F67C12" w:rsidRDefault="00301E95" w:rsidP="002B451E">
      <w:pPr>
        <w:pStyle w:val="Title"/>
        <w:jc w:val="left"/>
        <w:rPr>
          <w:b w:val="0"/>
        </w:rPr>
      </w:pPr>
      <w:r>
        <w:rPr>
          <w:b w:val="0"/>
        </w:rPr>
        <w:t>Table</w:t>
      </w:r>
      <w:r w:rsidR="002B451E">
        <w:rPr>
          <w:b w:val="0"/>
        </w:rPr>
        <w:t xml:space="preserve"> </w:t>
      </w:r>
      <w:r>
        <w:rPr>
          <w:b w:val="0"/>
        </w:rPr>
        <w:t>1</w:t>
      </w:r>
    </w:p>
    <w:p w14:paraId="194224FE" w14:textId="2E311A8C" w:rsidR="002B451E" w:rsidRPr="0095412D" w:rsidRDefault="002B451E" w:rsidP="002B451E">
      <w:pPr>
        <w:pStyle w:val="Title"/>
        <w:jc w:val="left"/>
        <w:rPr>
          <w:b w:val="0"/>
        </w:rPr>
      </w:pPr>
      <w:r w:rsidRPr="00320F50">
        <w:rPr>
          <w:b w:val="0"/>
        </w:rPr>
        <w:t>Intervention Focus</w:t>
      </w:r>
    </w:p>
    <w:tbl>
      <w:tblPr>
        <w:tblW w:w="10350" w:type="dxa"/>
        <w:tblInd w:w="-504" w:type="dxa"/>
        <w:tblCellMar>
          <w:top w:w="15" w:type="dxa"/>
          <w:left w:w="15" w:type="dxa"/>
          <w:bottom w:w="15" w:type="dxa"/>
          <w:right w:w="15" w:type="dxa"/>
        </w:tblCellMar>
        <w:tblLook w:val="04A0" w:firstRow="1" w:lastRow="0" w:firstColumn="1" w:lastColumn="0" w:noHBand="0" w:noVBand="1"/>
      </w:tblPr>
      <w:tblGrid>
        <w:gridCol w:w="1440"/>
        <w:gridCol w:w="2250"/>
        <w:gridCol w:w="6660"/>
      </w:tblGrid>
      <w:tr w:rsidR="002B451E" w:rsidRPr="007C4B0E" w14:paraId="2016A16E" w14:textId="77777777" w:rsidTr="00F67C12">
        <w:trPr>
          <w:trHeight w:val="785"/>
        </w:trPr>
        <w:tc>
          <w:tcPr>
            <w:tcW w:w="1440" w:type="dxa"/>
            <w:vMerge w:val="restart"/>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1991F4F9" w14:textId="77777777" w:rsidR="002B451E" w:rsidRPr="00366384" w:rsidRDefault="002B451E" w:rsidP="003A24A9">
            <w:pPr>
              <w:jc w:val="center"/>
              <w:rPr>
                <w:b/>
                <w:bCs/>
              </w:rPr>
            </w:pPr>
            <w:r w:rsidRPr="006318E1">
              <w:rPr>
                <w:b/>
                <w:bCs/>
                <w:color w:val="000000" w:themeColor="text1"/>
                <w:highlight w:val="lightGray"/>
                <w:shd w:val="clear" w:color="auto" w:fill="E263CC"/>
              </w:rPr>
              <w:t>Assessment</w:t>
            </w:r>
          </w:p>
        </w:tc>
        <w:tc>
          <w:tcPr>
            <w:tcW w:w="2250" w:type="dxa"/>
            <w:vMerge w:val="restart"/>
            <w:tcBorders>
              <w:top w:val="single" w:sz="4" w:space="0" w:color="004C7A"/>
              <w:left w:val="single" w:sz="4" w:space="0" w:color="004C7A"/>
              <w:bottom w:val="single" w:sz="4" w:space="0" w:color="004C7A"/>
              <w:right w:val="single" w:sz="4" w:space="0" w:color="FFFFFC"/>
            </w:tcBorders>
            <w:shd w:val="clear" w:color="auto" w:fill="28CAD0"/>
            <w:vAlign w:val="center"/>
            <w:hideMark/>
          </w:tcPr>
          <w:p w14:paraId="0F6FBFFD" w14:textId="77777777" w:rsidR="002B451E" w:rsidRPr="00366384" w:rsidRDefault="002B451E" w:rsidP="003A24A9">
            <w:pPr>
              <w:pStyle w:val="NormalWeb"/>
              <w:jc w:val="center"/>
              <w:rPr>
                <w:color w:val="000000" w:themeColor="text1"/>
              </w:rPr>
            </w:pPr>
            <w:r w:rsidRPr="00366384">
              <w:rPr>
                <w:b/>
                <w:bCs/>
                <w:color w:val="000000" w:themeColor="text1"/>
              </w:rPr>
              <w:t xml:space="preserve">Focus </w:t>
            </w:r>
            <w:r>
              <w:rPr>
                <w:b/>
                <w:bCs/>
                <w:color w:val="000000" w:themeColor="text1"/>
              </w:rPr>
              <w:t>Areas</w:t>
            </w:r>
          </w:p>
        </w:tc>
        <w:tc>
          <w:tcPr>
            <w:tcW w:w="6660" w:type="dxa"/>
            <w:vMerge w:val="restart"/>
            <w:tcBorders>
              <w:top w:val="single" w:sz="4" w:space="0" w:color="004C7A"/>
              <w:left w:val="single" w:sz="4" w:space="0" w:color="FFFFFC"/>
              <w:bottom w:val="single" w:sz="4" w:space="0" w:color="004C7A"/>
              <w:right w:val="single" w:sz="4" w:space="0" w:color="FFFFFC"/>
            </w:tcBorders>
            <w:shd w:val="clear" w:color="auto" w:fill="28CAD0"/>
            <w:vAlign w:val="center"/>
            <w:hideMark/>
          </w:tcPr>
          <w:p w14:paraId="4D2503FB" w14:textId="77777777" w:rsidR="002B451E" w:rsidRPr="00366384" w:rsidRDefault="002B451E" w:rsidP="003A24A9">
            <w:pPr>
              <w:pStyle w:val="NormalWeb"/>
              <w:jc w:val="center"/>
              <w:rPr>
                <w:color w:val="000000" w:themeColor="text1"/>
              </w:rPr>
            </w:pPr>
            <w:r w:rsidRPr="00366384">
              <w:rPr>
                <w:b/>
                <w:bCs/>
                <w:color w:val="000000" w:themeColor="text1"/>
              </w:rPr>
              <w:t>Indicators of Effectiveness</w:t>
            </w:r>
          </w:p>
        </w:tc>
      </w:tr>
      <w:tr w:rsidR="002B451E" w:rsidRPr="007C4B0E" w14:paraId="6E5C902A" w14:textId="77777777" w:rsidTr="00F67C12">
        <w:trPr>
          <w:trHeight w:val="458"/>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1F3BCC5C" w14:textId="77777777" w:rsidR="002B451E" w:rsidRPr="00366384" w:rsidRDefault="002B451E" w:rsidP="003A24A9"/>
        </w:tc>
        <w:tc>
          <w:tcPr>
            <w:tcW w:w="2250" w:type="dxa"/>
            <w:vMerge/>
            <w:tcBorders>
              <w:top w:val="single" w:sz="4" w:space="0" w:color="004C7A"/>
              <w:left w:val="single" w:sz="4" w:space="0" w:color="004C7A"/>
              <w:bottom w:val="single" w:sz="4" w:space="0" w:color="004C7A"/>
              <w:right w:val="single" w:sz="4" w:space="0" w:color="FFFFFC"/>
            </w:tcBorders>
            <w:vAlign w:val="center"/>
            <w:hideMark/>
          </w:tcPr>
          <w:p w14:paraId="541B9F44" w14:textId="77777777" w:rsidR="002B451E" w:rsidRPr="00366384" w:rsidRDefault="002B451E" w:rsidP="003A24A9"/>
        </w:tc>
        <w:tc>
          <w:tcPr>
            <w:tcW w:w="6660" w:type="dxa"/>
            <w:vMerge/>
            <w:tcBorders>
              <w:top w:val="single" w:sz="4" w:space="0" w:color="004C7A"/>
              <w:left w:val="single" w:sz="4" w:space="0" w:color="FFFFFC"/>
              <w:bottom w:val="single" w:sz="4" w:space="0" w:color="004C7A"/>
            </w:tcBorders>
            <w:vAlign w:val="center"/>
            <w:hideMark/>
          </w:tcPr>
          <w:p w14:paraId="42B9D63C" w14:textId="77777777" w:rsidR="002B451E" w:rsidRPr="00366384" w:rsidRDefault="002B451E" w:rsidP="003A24A9"/>
        </w:tc>
      </w:tr>
      <w:tr w:rsidR="002B451E" w:rsidRPr="007C4B0E" w14:paraId="526AED99" w14:textId="77777777" w:rsidTr="00F67C12">
        <w:trPr>
          <w:trHeight w:val="902"/>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70138953" w14:textId="77777777" w:rsidR="002B451E" w:rsidRPr="00366384" w:rsidRDefault="002B451E" w:rsidP="003A24A9"/>
        </w:tc>
        <w:tc>
          <w:tcPr>
            <w:tcW w:w="2250" w:type="dxa"/>
            <w:vMerge w:val="restart"/>
            <w:tcBorders>
              <w:top w:val="single" w:sz="4" w:space="0" w:color="004C7A"/>
              <w:left w:val="single" w:sz="4" w:space="0" w:color="004C7A"/>
              <w:right w:val="single" w:sz="4" w:space="0" w:color="004C7A"/>
            </w:tcBorders>
            <w:vAlign w:val="center"/>
            <w:hideMark/>
          </w:tcPr>
          <w:p w14:paraId="38882EE9" w14:textId="77777777" w:rsidR="002B451E" w:rsidRPr="00366384" w:rsidRDefault="002B451E" w:rsidP="003A24A9">
            <w:pPr>
              <w:jc w:val="center"/>
            </w:pPr>
            <w:r w:rsidRPr="00366384">
              <w:t>Proficiency in ELA</w:t>
            </w:r>
          </w:p>
        </w:tc>
        <w:tc>
          <w:tcPr>
            <w:tcW w:w="6660" w:type="dxa"/>
            <w:tcBorders>
              <w:top w:val="single" w:sz="4" w:space="0" w:color="004C7A"/>
              <w:left w:val="single" w:sz="4" w:space="0" w:color="004C7A"/>
              <w:bottom w:val="single" w:sz="4" w:space="0" w:color="004C7A"/>
              <w:right w:val="single" w:sz="4" w:space="0" w:color="004C7A"/>
            </w:tcBorders>
            <w:vAlign w:val="center"/>
            <w:hideMark/>
          </w:tcPr>
          <w:p w14:paraId="5B7C80ED" w14:textId="777A1476" w:rsidR="002B451E" w:rsidRPr="00366384" w:rsidRDefault="002B451E" w:rsidP="003A24A9">
            <w:pPr>
              <w:pStyle w:val="NoSpacing"/>
              <w:rPr>
                <w:rFonts w:eastAsia="Calibri"/>
              </w:rPr>
            </w:pPr>
            <w:r w:rsidRPr="00366384">
              <w:rPr>
                <w:rFonts w:eastAsia="Calibri"/>
              </w:rPr>
              <w:t xml:space="preserve">School-wide literacy approach through the implementation of </w:t>
            </w:r>
            <w:r w:rsidR="00AC557F">
              <w:rPr>
                <w:rFonts w:eastAsia="Calibri"/>
              </w:rPr>
              <w:t xml:space="preserve">digital educational platforms </w:t>
            </w:r>
            <w:r w:rsidRPr="00366384">
              <w:rPr>
                <w:rFonts w:eastAsia="Calibri"/>
              </w:rPr>
              <w:t>STAR Reader</w:t>
            </w:r>
            <w:r w:rsidR="00AC557F">
              <w:rPr>
                <w:rFonts w:eastAsia="Calibri"/>
              </w:rPr>
              <w:t xml:space="preserve"> and </w:t>
            </w:r>
            <w:r w:rsidRPr="00366384">
              <w:rPr>
                <w:rFonts w:eastAsia="Calibri"/>
              </w:rPr>
              <w:t>Accelerated Reader</w:t>
            </w:r>
            <w:r w:rsidR="00AC557F">
              <w:rPr>
                <w:rFonts w:eastAsia="Calibri"/>
              </w:rPr>
              <w:t xml:space="preserve">. </w:t>
            </w:r>
          </w:p>
        </w:tc>
      </w:tr>
      <w:tr w:rsidR="002B451E" w:rsidRPr="007C4B0E" w14:paraId="0834A380" w14:textId="77777777" w:rsidTr="00F67C12">
        <w:trPr>
          <w:trHeight w:val="785"/>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6B29D6D4" w14:textId="77777777" w:rsidR="002B451E" w:rsidRPr="00366384" w:rsidRDefault="002B451E" w:rsidP="003A24A9"/>
        </w:tc>
        <w:tc>
          <w:tcPr>
            <w:tcW w:w="2250" w:type="dxa"/>
            <w:vMerge/>
            <w:tcBorders>
              <w:left w:val="single" w:sz="4" w:space="0" w:color="004C7A"/>
              <w:right w:val="single" w:sz="4" w:space="0" w:color="004C7A"/>
            </w:tcBorders>
            <w:vAlign w:val="center"/>
            <w:hideMark/>
          </w:tcPr>
          <w:p w14:paraId="3F237176" w14:textId="77777777" w:rsidR="002B451E" w:rsidRPr="00366384" w:rsidRDefault="002B451E" w:rsidP="003A24A9">
            <w:pPr>
              <w:jc w:val="center"/>
            </w:pPr>
          </w:p>
        </w:tc>
        <w:tc>
          <w:tcPr>
            <w:tcW w:w="6660" w:type="dxa"/>
            <w:tcBorders>
              <w:top w:val="single" w:sz="4" w:space="0" w:color="004C7A"/>
              <w:left w:val="single" w:sz="4" w:space="0" w:color="004C7A"/>
              <w:bottom w:val="single" w:sz="4" w:space="0" w:color="004C7A"/>
              <w:right w:val="single" w:sz="4" w:space="0" w:color="004C7A"/>
            </w:tcBorders>
            <w:vAlign w:val="center"/>
            <w:hideMark/>
          </w:tcPr>
          <w:p w14:paraId="4DC48BD1" w14:textId="55C4C400" w:rsidR="002B451E" w:rsidRPr="00366384" w:rsidRDefault="002B451E" w:rsidP="003A24A9">
            <w:pPr>
              <w:pStyle w:val="NoSpacing"/>
              <w:rPr>
                <w:rFonts w:eastAsia="Calibri"/>
                <w:b/>
              </w:rPr>
            </w:pPr>
            <w:r w:rsidRPr="00366384">
              <w:rPr>
                <w:rFonts w:eastAsia="Calibri"/>
              </w:rPr>
              <w:t xml:space="preserve">Utilizing </w:t>
            </w:r>
            <w:r>
              <w:rPr>
                <w:rFonts w:eastAsia="Calibri"/>
              </w:rPr>
              <w:t>Edulastic for standard</w:t>
            </w:r>
            <w:r w:rsidR="00F67C12">
              <w:rPr>
                <w:rFonts w:eastAsia="Calibri"/>
              </w:rPr>
              <w:t>-</w:t>
            </w:r>
            <w:r>
              <w:rPr>
                <w:rFonts w:eastAsia="Calibri"/>
              </w:rPr>
              <w:t>based practices to track gro</w:t>
            </w:r>
            <w:r w:rsidRPr="00366384">
              <w:rPr>
                <w:rFonts w:eastAsia="Calibri"/>
              </w:rPr>
              <w:t>wth and progression</w:t>
            </w:r>
            <w:r>
              <w:rPr>
                <w:rFonts w:eastAsia="Calibri"/>
              </w:rPr>
              <w:t>.</w:t>
            </w:r>
          </w:p>
        </w:tc>
      </w:tr>
      <w:tr w:rsidR="002B451E" w:rsidRPr="007C4B0E" w14:paraId="1B96F9EC" w14:textId="77777777" w:rsidTr="00F67C12">
        <w:trPr>
          <w:trHeight w:val="785"/>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tcPr>
          <w:p w14:paraId="66711F6B" w14:textId="77777777" w:rsidR="002B451E" w:rsidRPr="00366384" w:rsidRDefault="002B451E" w:rsidP="003A24A9"/>
        </w:tc>
        <w:tc>
          <w:tcPr>
            <w:tcW w:w="2250" w:type="dxa"/>
            <w:vMerge/>
            <w:tcBorders>
              <w:left w:val="single" w:sz="4" w:space="0" w:color="004C7A"/>
              <w:bottom w:val="single" w:sz="4" w:space="0" w:color="004C7A"/>
              <w:right w:val="single" w:sz="4" w:space="0" w:color="004C7A"/>
            </w:tcBorders>
            <w:vAlign w:val="center"/>
          </w:tcPr>
          <w:p w14:paraId="1CCF355F" w14:textId="77777777" w:rsidR="002B451E" w:rsidRPr="00366384" w:rsidRDefault="002B451E" w:rsidP="003A24A9">
            <w:pPr>
              <w:jc w:val="center"/>
            </w:pPr>
          </w:p>
        </w:tc>
        <w:tc>
          <w:tcPr>
            <w:tcW w:w="6660" w:type="dxa"/>
            <w:tcBorders>
              <w:top w:val="single" w:sz="4" w:space="0" w:color="004C7A"/>
              <w:left w:val="single" w:sz="4" w:space="0" w:color="004C7A"/>
              <w:bottom w:val="single" w:sz="4" w:space="0" w:color="004C7A"/>
              <w:right w:val="single" w:sz="4" w:space="0" w:color="004C7A"/>
            </w:tcBorders>
            <w:vAlign w:val="center"/>
          </w:tcPr>
          <w:p w14:paraId="543F4DC2" w14:textId="77777777" w:rsidR="002B451E" w:rsidRPr="00366384" w:rsidRDefault="002B451E" w:rsidP="003A24A9">
            <w:pPr>
              <w:pStyle w:val="NoSpacing"/>
              <w:rPr>
                <w:rFonts w:eastAsia="Calibri"/>
              </w:rPr>
            </w:pPr>
            <w:r>
              <w:rPr>
                <w:rFonts w:eastAsia="Calibri"/>
              </w:rPr>
              <w:t>Morning and afterschool standard/skill-based tutorials, direct, one-on-one, and small group centers/stations.</w:t>
            </w:r>
          </w:p>
        </w:tc>
      </w:tr>
      <w:tr w:rsidR="002B451E" w:rsidRPr="007C4B0E" w14:paraId="6630774C" w14:textId="77777777" w:rsidTr="00F67C12">
        <w:trPr>
          <w:trHeight w:val="965"/>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09FEA289" w14:textId="77777777" w:rsidR="002B451E" w:rsidRPr="00366384" w:rsidRDefault="002B451E" w:rsidP="003A24A9"/>
        </w:tc>
        <w:tc>
          <w:tcPr>
            <w:tcW w:w="2250" w:type="dxa"/>
            <w:vMerge w:val="restart"/>
            <w:tcBorders>
              <w:top w:val="single" w:sz="4" w:space="0" w:color="004C7A"/>
              <w:left w:val="single" w:sz="4" w:space="0" w:color="004C7A"/>
              <w:bottom w:val="single" w:sz="4" w:space="0" w:color="004C7A"/>
              <w:right w:val="single" w:sz="4" w:space="0" w:color="004C7A"/>
            </w:tcBorders>
            <w:vAlign w:val="center"/>
            <w:hideMark/>
          </w:tcPr>
          <w:p w14:paraId="08AE2668" w14:textId="77777777" w:rsidR="002B451E" w:rsidRPr="00366384" w:rsidRDefault="002B451E" w:rsidP="003A24A9">
            <w:pPr>
              <w:jc w:val="center"/>
            </w:pPr>
            <w:r w:rsidRPr="00366384">
              <w:t>Budget</w:t>
            </w:r>
            <w:r>
              <w:t xml:space="preserve"> Needed</w:t>
            </w:r>
          </w:p>
        </w:tc>
        <w:tc>
          <w:tcPr>
            <w:tcW w:w="6660" w:type="dxa"/>
            <w:tcBorders>
              <w:top w:val="single" w:sz="4" w:space="0" w:color="004C7A"/>
              <w:left w:val="single" w:sz="4" w:space="0" w:color="004C7A"/>
              <w:bottom w:val="single" w:sz="4" w:space="0" w:color="004C7A"/>
              <w:right w:val="single" w:sz="4" w:space="0" w:color="004C7A"/>
            </w:tcBorders>
            <w:vAlign w:val="center"/>
            <w:hideMark/>
          </w:tcPr>
          <w:p w14:paraId="1C0425F2" w14:textId="77777777" w:rsidR="002B451E" w:rsidRPr="00314D14" w:rsidRDefault="002B451E" w:rsidP="003A24A9">
            <w:pPr>
              <w:pStyle w:val="NoSpacing"/>
              <w:rPr>
                <w:rFonts w:eastAsia="Calibri"/>
                <w:b/>
              </w:rPr>
            </w:pPr>
            <w:r w:rsidRPr="00366384">
              <w:rPr>
                <w:rFonts w:eastAsia="Calibri"/>
              </w:rPr>
              <w:t xml:space="preserve">Utilizing basic </w:t>
            </w:r>
            <w:r>
              <w:rPr>
                <w:rFonts w:eastAsia="Calibri"/>
              </w:rPr>
              <w:t>ski</w:t>
            </w:r>
            <w:r w:rsidRPr="00366384">
              <w:rPr>
                <w:rFonts w:eastAsia="Calibri"/>
              </w:rPr>
              <w:t>lls instructors for ELA</w:t>
            </w:r>
            <w:r>
              <w:rPr>
                <w:rFonts w:eastAsia="Calibri"/>
              </w:rPr>
              <w:t xml:space="preserve">, </w:t>
            </w:r>
            <w:r w:rsidRPr="00366384">
              <w:rPr>
                <w:rFonts w:eastAsia="Calibri"/>
              </w:rPr>
              <w:t>which supports skill development</w:t>
            </w:r>
            <w:r>
              <w:rPr>
                <w:rFonts w:eastAsia="Calibri"/>
              </w:rPr>
              <w:t xml:space="preserve"> and online educational platforms for </w:t>
            </w:r>
            <w:r w:rsidRPr="00366384">
              <w:rPr>
                <w:rFonts w:eastAsia="Calibri"/>
              </w:rPr>
              <w:t>skills mastery</w:t>
            </w:r>
            <w:r>
              <w:rPr>
                <w:rFonts w:eastAsia="Calibri"/>
              </w:rPr>
              <w:t>.</w:t>
            </w:r>
          </w:p>
        </w:tc>
      </w:tr>
      <w:tr w:rsidR="002B451E" w:rsidRPr="007C4B0E" w14:paraId="4D612EC5" w14:textId="77777777" w:rsidTr="00F67C12">
        <w:trPr>
          <w:trHeight w:val="1073"/>
        </w:trPr>
        <w:tc>
          <w:tcPr>
            <w:tcW w:w="1440" w:type="dxa"/>
            <w:vMerge/>
            <w:tcBorders>
              <w:top w:val="single" w:sz="4" w:space="0" w:color="004C7A"/>
              <w:left w:val="single" w:sz="4" w:space="0" w:color="004C77"/>
              <w:bottom w:val="single" w:sz="4" w:space="0" w:color="004C7A"/>
              <w:right w:val="single" w:sz="4" w:space="0" w:color="004C7A"/>
            </w:tcBorders>
            <w:shd w:val="clear" w:color="auto" w:fill="E7E6E6" w:themeFill="background2"/>
            <w:vAlign w:val="center"/>
            <w:hideMark/>
          </w:tcPr>
          <w:p w14:paraId="6C5D9C43" w14:textId="77777777" w:rsidR="002B451E" w:rsidRPr="00366384" w:rsidRDefault="002B451E" w:rsidP="003A24A9"/>
        </w:tc>
        <w:tc>
          <w:tcPr>
            <w:tcW w:w="2250" w:type="dxa"/>
            <w:vMerge/>
            <w:tcBorders>
              <w:top w:val="single" w:sz="4" w:space="0" w:color="004C7A"/>
              <w:left w:val="single" w:sz="4" w:space="0" w:color="004C7A"/>
              <w:bottom w:val="single" w:sz="4" w:space="0" w:color="004C7A"/>
              <w:right w:val="single" w:sz="4" w:space="0" w:color="004C7A"/>
            </w:tcBorders>
            <w:vAlign w:val="center"/>
            <w:hideMark/>
          </w:tcPr>
          <w:p w14:paraId="5E40A7A1" w14:textId="77777777" w:rsidR="002B451E" w:rsidRPr="00366384" w:rsidRDefault="002B451E" w:rsidP="003A24A9"/>
        </w:tc>
        <w:tc>
          <w:tcPr>
            <w:tcW w:w="6660" w:type="dxa"/>
            <w:tcBorders>
              <w:top w:val="single" w:sz="4" w:space="0" w:color="004C7A"/>
              <w:left w:val="single" w:sz="4" w:space="0" w:color="004C7A"/>
              <w:bottom w:val="single" w:sz="4" w:space="0" w:color="004C7A"/>
              <w:right w:val="single" w:sz="4" w:space="0" w:color="004C7A"/>
            </w:tcBorders>
            <w:vAlign w:val="center"/>
            <w:hideMark/>
          </w:tcPr>
          <w:p w14:paraId="716BBDE7" w14:textId="4DD4A8F2" w:rsidR="00AC557F" w:rsidRPr="00AC557F" w:rsidRDefault="002B451E" w:rsidP="003A24A9">
            <w:pPr>
              <w:pStyle w:val="NoSpacing"/>
              <w:rPr>
                <w:rFonts w:eastAsia="Calibri"/>
              </w:rPr>
            </w:pPr>
            <w:r w:rsidRPr="00366384">
              <w:rPr>
                <w:rFonts w:eastAsia="Calibri"/>
              </w:rPr>
              <w:t>The incorporation of technolog</w:t>
            </w:r>
            <w:r>
              <w:rPr>
                <w:rFonts w:eastAsia="Calibri"/>
              </w:rPr>
              <w:t xml:space="preserve">y (additional </w:t>
            </w:r>
            <w:r w:rsidR="00204FC8">
              <w:rPr>
                <w:rFonts w:eastAsia="Calibri"/>
              </w:rPr>
              <w:t>Chromebook</w:t>
            </w:r>
            <w:r w:rsidR="00F67C12">
              <w:rPr>
                <w:rFonts w:eastAsia="Calibri"/>
              </w:rPr>
              <w:t>s</w:t>
            </w:r>
            <w:r>
              <w:rPr>
                <w:rFonts w:eastAsia="Calibri"/>
              </w:rPr>
              <w:t xml:space="preserve"> and/or </w:t>
            </w:r>
            <w:r w:rsidR="00204FC8">
              <w:rPr>
                <w:rFonts w:eastAsia="Calibri"/>
              </w:rPr>
              <w:t>iPad</w:t>
            </w:r>
            <w:r w:rsidR="00F67C12">
              <w:rPr>
                <w:rFonts w:eastAsia="Calibri"/>
              </w:rPr>
              <w:t>s</w:t>
            </w:r>
            <w:r>
              <w:rPr>
                <w:rFonts w:eastAsia="Calibri"/>
              </w:rPr>
              <w:t>) and educational programs</w:t>
            </w:r>
            <w:r w:rsidRPr="00366384">
              <w:rPr>
                <w:rFonts w:eastAsia="Calibri"/>
              </w:rPr>
              <w:t xml:space="preserve"> to</w:t>
            </w:r>
            <w:r>
              <w:rPr>
                <w:rFonts w:eastAsia="Calibri"/>
              </w:rPr>
              <w:t xml:space="preserve"> </w:t>
            </w:r>
            <w:r w:rsidRPr="00366384">
              <w:rPr>
                <w:rFonts w:eastAsia="Calibri"/>
              </w:rPr>
              <w:t>provide support</w:t>
            </w:r>
            <w:r>
              <w:rPr>
                <w:rFonts w:eastAsia="Calibri"/>
              </w:rPr>
              <w:t>/</w:t>
            </w:r>
            <w:r w:rsidRPr="00366384">
              <w:rPr>
                <w:rFonts w:eastAsia="Calibri"/>
              </w:rPr>
              <w:t xml:space="preserve">academic </w:t>
            </w:r>
            <w:r w:rsidR="00AC557F">
              <w:rPr>
                <w:rFonts w:eastAsia="Calibri"/>
              </w:rPr>
              <w:t xml:space="preserve">support </w:t>
            </w:r>
            <w:r>
              <w:rPr>
                <w:rFonts w:eastAsia="Calibri"/>
              </w:rPr>
              <w:t>for</w:t>
            </w:r>
            <w:r w:rsidRPr="00366384">
              <w:rPr>
                <w:rFonts w:eastAsia="Calibri"/>
              </w:rPr>
              <w:t xml:space="preserve"> students and staff</w:t>
            </w:r>
            <w:r w:rsidR="00AC557F">
              <w:rPr>
                <w:rFonts w:eastAsia="Calibri"/>
              </w:rPr>
              <w:t>.</w:t>
            </w:r>
          </w:p>
        </w:tc>
      </w:tr>
    </w:tbl>
    <w:p w14:paraId="37C8E7CB" w14:textId="697B9257" w:rsidR="00D43622" w:rsidRDefault="00D43622" w:rsidP="002B451E">
      <w:pPr>
        <w:jc w:val="both"/>
      </w:pPr>
    </w:p>
    <w:p w14:paraId="44A9F024" w14:textId="466E7B6E" w:rsidR="002F48AB" w:rsidRDefault="002F48AB" w:rsidP="002B451E">
      <w:pPr>
        <w:jc w:val="both"/>
      </w:pPr>
    </w:p>
    <w:p w14:paraId="17820973" w14:textId="3CC72FFF" w:rsidR="002F48AB" w:rsidRDefault="002F48AB" w:rsidP="002B451E">
      <w:pPr>
        <w:jc w:val="both"/>
      </w:pPr>
    </w:p>
    <w:p w14:paraId="40891158" w14:textId="656B3049" w:rsidR="00F67C12" w:rsidRDefault="00F67C12" w:rsidP="002B451E">
      <w:pPr>
        <w:jc w:val="both"/>
      </w:pPr>
    </w:p>
    <w:p w14:paraId="5C28601F" w14:textId="77777777" w:rsidR="00F67C12" w:rsidRDefault="00F67C12" w:rsidP="002B451E">
      <w:pPr>
        <w:jc w:val="both"/>
      </w:pPr>
    </w:p>
    <w:p w14:paraId="1376500E" w14:textId="5D530336" w:rsidR="002F48AB" w:rsidRDefault="002F48AB" w:rsidP="002B451E">
      <w:pPr>
        <w:jc w:val="both"/>
      </w:pPr>
    </w:p>
    <w:p w14:paraId="54AF1B6A" w14:textId="082189B8" w:rsidR="00204FC8" w:rsidRDefault="00204FC8" w:rsidP="002B451E">
      <w:pPr>
        <w:jc w:val="both"/>
      </w:pPr>
    </w:p>
    <w:p w14:paraId="09AD1CDB" w14:textId="77777777" w:rsidR="00F67C12" w:rsidRDefault="00F67C12" w:rsidP="002B451E">
      <w:pPr>
        <w:jc w:val="both"/>
      </w:pPr>
    </w:p>
    <w:p w14:paraId="3C703220" w14:textId="77777777" w:rsidR="0070702F" w:rsidRDefault="0070702F" w:rsidP="002B451E">
      <w:pPr>
        <w:jc w:val="both"/>
      </w:pPr>
    </w:p>
    <w:p w14:paraId="4F314479" w14:textId="573F183B" w:rsidR="002B451E" w:rsidRDefault="00301E95" w:rsidP="002B451E">
      <w:pPr>
        <w:jc w:val="both"/>
      </w:pPr>
      <w:r>
        <w:lastRenderedPageBreak/>
        <w:t>Table</w:t>
      </w:r>
      <w:r w:rsidR="002B451E">
        <w:t xml:space="preserve"> </w:t>
      </w:r>
      <w:r>
        <w:t>2</w:t>
      </w:r>
    </w:p>
    <w:p w14:paraId="301CABE7" w14:textId="77777777" w:rsidR="002B451E" w:rsidRPr="00320F50" w:rsidRDefault="002B451E" w:rsidP="002B451E">
      <w:pPr>
        <w:jc w:val="both"/>
      </w:pPr>
      <w:r w:rsidRPr="00320F50">
        <w:t>Intervention Plan</w:t>
      </w:r>
    </w:p>
    <w:tbl>
      <w:tblPr>
        <w:tblW w:w="10350" w:type="dxa"/>
        <w:tblInd w:w="-504" w:type="dxa"/>
        <w:tblCellMar>
          <w:top w:w="15" w:type="dxa"/>
          <w:left w:w="15" w:type="dxa"/>
          <w:bottom w:w="15" w:type="dxa"/>
          <w:right w:w="15" w:type="dxa"/>
        </w:tblCellMar>
        <w:tblLook w:val="04A0" w:firstRow="1" w:lastRow="0" w:firstColumn="1" w:lastColumn="0" w:noHBand="0" w:noVBand="1"/>
      </w:tblPr>
      <w:tblGrid>
        <w:gridCol w:w="1710"/>
        <w:gridCol w:w="4230"/>
        <w:gridCol w:w="4410"/>
      </w:tblGrid>
      <w:tr w:rsidR="002B451E" w:rsidRPr="007C4B0E" w14:paraId="194F290F" w14:textId="77777777" w:rsidTr="00F67C12">
        <w:tc>
          <w:tcPr>
            <w:tcW w:w="1710" w:type="dxa"/>
            <w:vMerge w:val="restart"/>
            <w:tcBorders>
              <w:top w:val="single" w:sz="4" w:space="0" w:color="004C7A"/>
              <w:left w:val="single" w:sz="4" w:space="0" w:color="004C7A"/>
              <w:bottom w:val="single" w:sz="4" w:space="0" w:color="004C7A"/>
              <w:right w:val="single" w:sz="4" w:space="0" w:color="004C7A"/>
            </w:tcBorders>
            <w:shd w:val="clear" w:color="auto" w:fill="E7E6E6" w:themeFill="background2"/>
            <w:vAlign w:val="center"/>
            <w:hideMark/>
          </w:tcPr>
          <w:p w14:paraId="56FB7D81" w14:textId="77777777" w:rsidR="002B451E" w:rsidRPr="009577D0" w:rsidRDefault="002B451E" w:rsidP="003A24A9">
            <w:pPr>
              <w:jc w:val="center"/>
              <w:rPr>
                <w:b/>
              </w:rPr>
            </w:pPr>
            <w:r w:rsidRPr="006318E1">
              <w:rPr>
                <w:b/>
                <w:highlight w:val="lightGray"/>
              </w:rPr>
              <w:t>Plan</w:t>
            </w:r>
          </w:p>
        </w:tc>
        <w:tc>
          <w:tcPr>
            <w:tcW w:w="4230" w:type="dxa"/>
            <w:tcBorders>
              <w:top w:val="single" w:sz="4" w:space="0" w:color="004C7A"/>
              <w:left w:val="single" w:sz="4" w:space="0" w:color="004C7A"/>
              <w:bottom w:val="single" w:sz="4" w:space="0" w:color="004C7A"/>
              <w:right w:val="single" w:sz="4" w:space="0" w:color="FFFFFC"/>
            </w:tcBorders>
            <w:shd w:val="clear" w:color="auto" w:fill="28CAD0"/>
            <w:vAlign w:val="center"/>
            <w:hideMark/>
          </w:tcPr>
          <w:p w14:paraId="090AADBC" w14:textId="77777777" w:rsidR="002B451E" w:rsidRPr="009577D0" w:rsidRDefault="002B451E" w:rsidP="003A24A9">
            <w:pPr>
              <w:pStyle w:val="NormalWeb"/>
              <w:jc w:val="center"/>
              <w:rPr>
                <w:color w:val="000000" w:themeColor="text1"/>
              </w:rPr>
            </w:pPr>
            <w:r w:rsidRPr="009577D0">
              <w:rPr>
                <w:b/>
                <w:bCs/>
                <w:color w:val="000000" w:themeColor="text1"/>
              </w:rPr>
              <w:t>Address</w:t>
            </w:r>
            <w:r>
              <w:rPr>
                <w:b/>
                <w:bCs/>
                <w:color w:val="000000" w:themeColor="text1"/>
              </w:rPr>
              <w:t>ing</w:t>
            </w:r>
            <w:r w:rsidRPr="009577D0">
              <w:rPr>
                <w:b/>
                <w:bCs/>
                <w:color w:val="000000" w:themeColor="text1"/>
              </w:rPr>
              <w:t xml:space="preserve"> Gaps</w:t>
            </w:r>
          </w:p>
        </w:tc>
        <w:tc>
          <w:tcPr>
            <w:tcW w:w="4410" w:type="dxa"/>
            <w:tcBorders>
              <w:top w:val="single" w:sz="4" w:space="0" w:color="004C7A"/>
              <w:left w:val="single" w:sz="4" w:space="0" w:color="FFFFFC"/>
              <w:bottom w:val="single" w:sz="4" w:space="0" w:color="004C7A"/>
              <w:right w:val="single" w:sz="4" w:space="0" w:color="FFFFFC"/>
            </w:tcBorders>
            <w:shd w:val="clear" w:color="auto" w:fill="28CAD0"/>
            <w:vAlign w:val="center"/>
            <w:hideMark/>
          </w:tcPr>
          <w:p w14:paraId="79B7C00A" w14:textId="77777777" w:rsidR="002B451E" w:rsidRPr="009577D0" w:rsidRDefault="002B451E" w:rsidP="003A24A9">
            <w:pPr>
              <w:pStyle w:val="NormalWeb"/>
              <w:jc w:val="center"/>
              <w:rPr>
                <w:color w:val="000000" w:themeColor="text1"/>
              </w:rPr>
            </w:pPr>
            <w:r w:rsidRPr="009577D0">
              <w:rPr>
                <w:b/>
                <w:bCs/>
                <w:color w:val="000000" w:themeColor="text1"/>
              </w:rPr>
              <w:t xml:space="preserve">Resources </w:t>
            </w:r>
          </w:p>
        </w:tc>
      </w:tr>
      <w:tr w:rsidR="002B451E" w:rsidRPr="007C4B0E" w14:paraId="0EE39053" w14:textId="77777777" w:rsidTr="00F67C12">
        <w:trPr>
          <w:trHeight w:val="3098"/>
        </w:trPr>
        <w:tc>
          <w:tcPr>
            <w:tcW w:w="1710" w:type="dxa"/>
            <w:vMerge/>
            <w:tcBorders>
              <w:top w:val="single" w:sz="4" w:space="0" w:color="004C7A"/>
              <w:left w:val="single" w:sz="4" w:space="0" w:color="004C7A"/>
              <w:bottom w:val="single" w:sz="4" w:space="0" w:color="004C7A"/>
              <w:right w:val="single" w:sz="4" w:space="0" w:color="004C7A"/>
            </w:tcBorders>
            <w:shd w:val="clear" w:color="auto" w:fill="E7E6E6" w:themeFill="background2"/>
            <w:vAlign w:val="center"/>
            <w:hideMark/>
          </w:tcPr>
          <w:p w14:paraId="0CE6EDCF" w14:textId="77777777" w:rsidR="002B451E" w:rsidRPr="007C4B0E" w:rsidRDefault="002B451E" w:rsidP="003A24A9"/>
        </w:tc>
        <w:tc>
          <w:tcPr>
            <w:tcW w:w="4230" w:type="dxa"/>
            <w:tcBorders>
              <w:top w:val="single" w:sz="4" w:space="0" w:color="004C7A"/>
              <w:left w:val="single" w:sz="4" w:space="0" w:color="004C7A"/>
              <w:bottom w:val="single" w:sz="4" w:space="0" w:color="004C7A"/>
              <w:right w:val="single" w:sz="4" w:space="0" w:color="004C7A"/>
            </w:tcBorders>
            <w:vAlign w:val="center"/>
            <w:hideMark/>
          </w:tcPr>
          <w:p w14:paraId="7C6DFEAF" w14:textId="77777777" w:rsidR="00AC557F" w:rsidRDefault="00AC557F" w:rsidP="00AC557F">
            <w:pPr>
              <w:pStyle w:val="NormalWeb"/>
              <w:ind w:left="360"/>
            </w:pPr>
          </w:p>
          <w:p w14:paraId="123DCB02" w14:textId="296E02CB" w:rsidR="002B451E" w:rsidRPr="007C4B0E" w:rsidRDefault="002B451E" w:rsidP="00AC557F">
            <w:pPr>
              <w:pStyle w:val="NormalWeb"/>
              <w:numPr>
                <w:ilvl w:val="0"/>
                <w:numId w:val="2"/>
              </w:numPr>
            </w:pPr>
            <w:r w:rsidRPr="007C4B0E">
              <w:t xml:space="preserve">Response to </w:t>
            </w:r>
            <w:r>
              <w:t>early intervention programs</w:t>
            </w:r>
          </w:p>
          <w:p w14:paraId="67A1D707" w14:textId="77777777" w:rsidR="002B451E" w:rsidRDefault="002B451E" w:rsidP="002B451E">
            <w:pPr>
              <w:pStyle w:val="NormalWeb"/>
              <w:numPr>
                <w:ilvl w:val="0"/>
                <w:numId w:val="2"/>
              </w:numPr>
            </w:pPr>
            <w:r>
              <w:t xml:space="preserve">Formative/summative practice </w:t>
            </w:r>
            <w:r w:rsidRPr="007C4B0E">
              <w:t>assessments</w:t>
            </w:r>
            <w:r>
              <w:t xml:space="preserve"> utilizing educational programs on technologies</w:t>
            </w:r>
          </w:p>
          <w:p w14:paraId="46C31670" w14:textId="23A024E5" w:rsidR="002B451E" w:rsidRPr="007C4B0E" w:rsidRDefault="002B451E" w:rsidP="002B451E">
            <w:pPr>
              <w:pStyle w:val="NormalWeb"/>
              <w:numPr>
                <w:ilvl w:val="0"/>
                <w:numId w:val="2"/>
              </w:numPr>
            </w:pPr>
            <w:r>
              <w:t>Professional developments</w:t>
            </w:r>
          </w:p>
          <w:p w14:paraId="454099EF" w14:textId="086A8409" w:rsidR="002B451E" w:rsidRPr="007C4B0E" w:rsidRDefault="002B451E" w:rsidP="002B451E">
            <w:pPr>
              <w:pStyle w:val="NormalWeb"/>
              <w:numPr>
                <w:ilvl w:val="0"/>
                <w:numId w:val="2"/>
              </w:numPr>
            </w:pPr>
            <w:r>
              <w:t>Morning and afterschool tutorials</w:t>
            </w:r>
            <w:r w:rsidR="00F67C12">
              <w:t xml:space="preserve"> </w:t>
            </w:r>
            <w:r>
              <w:t>provide additional support with one-on-one and/or small group instruction for struggling learners</w:t>
            </w:r>
          </w:p>
        </w:tc>
        <w:tc>
          <w:tcPr>
            <w:tcW w:w="4410" w:type="dxa"/>
            <w:tcBorders>
              <w:top w:val="single" w:sz="4" w:space="0" w:color="004C7A"/>
              <w:left w:val="single" w:sz="4" w:space="0" w:color="004C7A"/>
              <w:bottom w:val="single" w:sz="4" w:space="0" w:color="004C7A"/>
              <w:right w:val="single" w:sz="4" w:space="0" w:color="auto"/>
            </w:tcBorders>
            <w:vAlign w:val="center"/>
            <w:hideMark/>
          </w:tcPr>
          <w:p w14:paraId="5A5E3818" w14:textId="77777777" w:rsidR="002B451E" w:rsidRPr="00F65D43" w:rsidRDefault="002B451E" w:rsidP="002B451E">
            <w:pPr>
              <w:pStyle w:val="NormalWeb"/>
              <w:numPr>
                <w:ilvl w:val="0"/>
                <w:numId w:val="3"/>
              </w:numPr>
            </w:pPr>
            <w:r w:rsidRPr="00F65D43">
              <w:rPr>
                <w:rFonts w:eastAsia="Calibri"/>
              </w:rPr>
              <w:t>K-</w:t>
            </w:r>
            <w:r>
              <w:rPr>
                <w:rFonts w:eastAsia="Calibri"/>
              </w:rPr>
              <w:t>3 ELA coach</w:t>
            </w:r>
          </w:p>
          <w:p w14:paraId="6B9ADB7D" w14:textId="7957F235" w:rsidR="002B451E" w:rsidRDefault="002B451E" w:rsidP="002B451E">
            <w:pPr>
              <w:pStyle w:val="NormalWeb"/>
              <w:numPr>
                <w:ilvl w:val="0"/>
                <w:numId w:val="3"/>
              </w:numPr>
            </w:pPr>
            <w:r w:rsidRPr="00F65D43">
              <w:t xml:space="preserve">ELA </w:t>
            </w:r>
            <w:r>
              <w:t xml:space="preserve">basic </w:t>
            </w:r>
            <w:r w:rsidRPr="00F65D43">
              <w:t>skills instructor</w:t>
            </w:r>
          </w:p>
          <w:p w14:paraId="2EE34465" w14:textId="77777777" w:rsidR="002B451E" w:rsidRPr="00F65D43" w:rsidRDefault="002B451E" w:rsidP="002B451E">
            <w:pPr>
              <w:pStyle w:val="NormalWeb"/>
              <w:numPr>
                <w:ilvl w:val="0"/>
                <w:numId w:val="3"/>
              </w:numPr>
            </w:pPr>
            <w:r w:rsidRPr="00F65D43">
              <w:t xml:space="preserve">Educational programs on technologies  </w:t>
            </w:r>
          </w:p>
          <w:p w14:paraId="5FC3A570" w14:textId="3993D4C9" w:rsidR="002B451E" w:rsidRPr="00F65D43" w:rsidRDefault="002B451E" w:rsidP="002B451E">
            <w:pPr>
              <w:pStyle w:val="NormalWeb"/>
              <w:numPr>
                <w:ilvl w:val="0"/>
                <w:numId w:val="3"/>
              </w:numPr>
            </w:pPr>
            <w:r w:rsidRPr="00F65D43">
              <w:t xml:space="preserve">Targeted professional development (e.g., data analysis, implementation of </w:t>
            </w:r>
            <w:r w:rsidR="00AC557F">
              <w:t xml:space="preserve">digital </w:t>
            </w:r>
            <w:r w:rsidRPr="00F65D43">
              <w:t>intervention programs</w:t>
            </w:r>
            <w:r w:rsidR="00AC557F">
              <w:t>/platforms</w:t>
            </w:r>
            <w:r w:rsidRPr="00F65D43">
              <w:t xml:space="preserve">) </w:t>
            </w:r>
          </w:p>
          <w:p w14:paraId="1C9157D7" w14:textId="7756FAD5" w:rsidR="002B451E" w:rsidRPr="007C4B0E" w:rsidRDefault="002B451E" w:rsidP="00AC557F">
            <w:pPr>
              <w:pStyle w:val="NormalWeb"/>
            </w:pPr>
          </w:p>
        </w:tc>
      </w:tr>
    </w:tbl>
    <w:p w14:paraId="4B2482FD" w14:textId="77777777" w:rsidR="002B451E" w:rsidRDefault="002B451E" w:rsidP="002B451E"/>
    <w:p w14:paraId="41401B2E" w14:textId="77777777" w:rsidR="002B451E" w:rsidRPr="002B451E" w:rsidRDefault="002B451E" w:rsidP="002B451E">
      <w:pPr>
        <w:spacing w:line="480" w:lineRule="auto"/>
        <w:ind w:firstLine="720"/>
        <w:jc w:val="center"/>
        <w:rPr>
          <w:b/>
        </w:rPr>
      </w:pPr>
    </w:p>
    <w:p w14:paraId="5273CDA1" w14:textId="77777777" w:rsidR="002B451E" w:rsidRDefault="002B451E" w:rsidP="00005B0E">
      <w:pPr>
        <w:pStyle w:val="NormalWeb"/>
        <w:spacing w:before="0" w:beforeAutospacing="0" w:after="0" w:afterAutospacing="0" w:line="480" w:lineRule="auto"/>
        <w:ind w:firstLine="720"/>
        <w:jc w:val="center"/>
        <w:rPr>
          <w:b/>
          <w:bCs/>
        </w:rPr>
      </w:pPr>
    </w:p>
    <w:p w14:paraId="0F899C0B" w14:textId="0C3E84BE" w:rsidR="007326FB" w:rsidRDefault="007326FB" w:rsidP="007326FB">
      <w:pPr>
        <w:pStyle w:val="NormalWeb"/>
        <w:spacing w:before="0" w:beforeAutospacing="0" w:after="0" w:afterAutospacing="0" w:line="480" w:lineRule="auto"/>
        <w:ind w:firstLine="720"/>
      </w:pPr>
    </w:p>
    <w:p w14:paraId="5577164F" w14:textId="417B6ACA" w:rsidR="00906632" w:rsidRDefault="00906632" w:rsidP="007326FB">
      <w:pPr>
        <w:pStyle w:val="NormalWeb"/>
        <w:spacing w:before="0" w:beforeAutospacing="0" w:after="0" w:afterAutospacing="0" w:line="480" w:lineRule="auto"/>
        <w:ind w:firstLine="720"/>
      </w:pPr>
    </w:p>
    <w:p w14:paraId="36BC9ED3" w14:textId="77777777" w:rsidR="00BF7D21" w:rsidRPr="007326FB" w:rsidRDefault="00BF7D21" w:rsidP="007326FB">
      <w:pPr>
        <w:pStyle w:val="NormalWeb"/>
        <w:spacing w:before="0" w:beforeAutospacing="0" w:after="0" w:afterAutospacing="0" w:line="480" w:lineRule="auto"/>
        <w:ind w:firstLine="720"/>
      </w:pPr>
    </w:p>
    <w:p w14:paraId="3F05DCCD" w14:textId="77777777" w:rsidR="00E30BEA" w:rsidRDefault="00E30BEA" w:rsidP="00E30BEA">
      <w:pPr>
        <w:rPr>
          <w:b/>
        </w:rPr>
      </w:pPr>
    </w:p>
    <w:p w14:paraId="2E6A93A0" w14:textId="4B720A26" w:rsidR="0099778A" w:rsidRDefault="0099778A" w:rsidP="00B85BDB">
      <w:pPr>
        <w:jc w:val="center"/>
        <w:rPr>
          <w:b/>
        </w:rPr>
      </w:pPr>
    </w:p>
    <w:p w14:paraId="2111F0A3" w14:textId="3A5DD9BB" w:rsidR="00005B0E" w:rsidRDefault="00005B0E" w:rsidP="00005B0E">
      <w:pPr>
        <w:pStyle w:val="NormalWeb"/>
        <w:spacing w:before="0" w:beforeAutospacing="0" w:after="0" w:afterAutospacing="0" w:line="480" w:lineRule="auto"/>
        <w:ind w:firstLine="720"/>
      </w:pPr>
    </w:p>
    <w:p w14:paraId="3D769DD8" w14:textId="6908D6B2" w:rsidR="002951D9" w:rsidRDefault="002951D9" w:rsidP="00005B0E">
      <w:pPr>
        <w:pStyle w:val="NormalWeb"/>
        <w:spacing w:before="0" w:beforeAutospacing="0" w:after="0" w:afterAutospacing="0" w:line="480" w:lineRule="auto"/>
        <w:ind w:firstLine="720"/>
      </w:pPr>
    </w:p>
    <w:p w14:paraId="13215A03" w14:textId="5CBB8174" w:rsidR="00D43622" w:rsidRDefault="00D43622" w:rsidP="00005B0E">
      <w:pPr>
        <w:pStyle w:val="NormalWeb"/>
        <w:spacing w:before="0" w:beforeAutospacing="0" w:after="0" w:afterAutospacing="0" w:line="480" w:lineRule="auto"/>
        <w:ind w:firstLine="720"/>
      </w:pPr>
    </w:p>
    <w:p w14:paraId="20623814" w14:textId="77777777" w:rsidR="00204FC8" w:rsidRDefault="00204FC8" w:rsidP="00005B0E">
      <w:pPr>
        <w:pStyle w:val="NormalWeb"/>
        <w:spacing w:before="0" w:beforeAutospacing="0" w:after="0" w:afterAutospacing="0" w:line="480" w:lineRule="auto"/>
        <w:ind w:firstLine="720"/>
      </w:pPr>
    </w:p>
    <w:p w14:paraId="7F02D6C7" w14:textId="064E159E" w:rsidR="00D43622" w:rsidRDefault="00D43622"/>
    <w:p w14:paraId="7C9FFA9A" w14:textId="205DEC98" w:rsidR="002F48AB" w:rsidRDefault="002F48AB"/>
    <w:p w14:paraId="4E4A466E" w14:textId="127CC12E" w:rsidR="002F48AB" w:rsidRDefault="002F48AB"/>
    <w:p w14:paraId="570BC5AB" w14:textId="79AB27A8" w:rsidR="002F48AB" w:rsidRDefault="002F48AB"/>
    <w:p w14:paraId="361D3F82" w14:textId="1B1A3239" w:rsidR="002F48AB" w:rsidRDefault="002F48AB"/>
    <w:p w14:paraId="57057FEF" w14:textId="77777777" w:rsidR="002F48AB" w:rsidRDefault="002F48AB"/>
    <w:p w14:paraId="2753C711" w14:textId="77777777" w:rsidR="00AC557F" w:rsidRDefault="00AC557F"/>
    <w:p w14:paraId="30AFFB21" w14:textId="2FB801B6" w:rsidR="00BF7D21" w:rsidRDefault="00BF7D21"/>
    <w:p w14:paraId="41267743" w14:textId="77777777" w:rsidR="00F67C12" w:rsidRDefault="00F67C12"/>
    <w:p w14:paraId="61362863" w14:textId="47CC9C7D" w:rsidR="009D05B0" w:rsidRDefault="00F479E3" w:rsidP="00B112C0">
      <w:pPr>
        <w:jc w:val="center"/>
      </w:pPr>
      <w:r>
        <w:rPr>
          <w:b/>
        </w:rPr>
        <w:lastRenderedPageBreak/>
        <w:t>References</w:t>
      </w:r>
    </w:p>
    <w:p w14:paraId="2E1EDB01" w14:textId="77777777" w:rsidR="002F3598" w:rsidRDefault="002F3598" w:rsidP="002F3598">
      <w:pPr>
        <w:pStyle w:val="NormalWeb"/>
        <w:spacing w:before="0" w:beforeAutospacing="0" w:after="0" w:afterAutospacing="0" w:line="480" w:lineRule="auto"/>
        <w:ind w:hanging="720"/>
        <w:rPr>
          <w:color w:val="000000"/>
        </w:rPr>
      </w:pPr>
    </w:p>
    <w:p w14:paraId="2FCBF95C" w14:textId="4AA16EA7" w:rsidR="002F3598" w:rsidRDefault="002F3598" w:rsidP="002F3598">
      <w:pPr>
        <w:pStyle w:val="NormalWeb"/>
        <w:spacing w:before="0" w:beforeAutospacing="0" w:after="0" w:afterAutospacing="0" w:line="480" w:lineRule="auto"/>
        <w:ind w:left="720" w:hanging="720"/>
      </w:pPr>
      <w:r>
        <w:rPr>
          <w:color w:val="000000"/>
        </w:rPr>
        <w:t>Curwood, J. S. (2013). Applying the design framework to technology professional development. </w:t>
      </w:r>
    </w:p>
    <w:p w14:paraId="5DFCBB3A" w14:textId="3DE7C462" w:rsidR="002F3598" w:rsidRDefault="002F3598" w:rsidP="002F3598">
      <w:pPr>
        <w:spacing w:line="480" w:lineRule="auto"/>
        <w:ind w:left="720"/>
        <w:rPr>
          <w:color w:val="000000"/>
        </w:rPr>
      </w:pPr>
      <w:r>
        <w:rPr>
          <w:i/>
          <w:iCs/>
          <w:color w:val="000000"/>
        </w:rPr>
        <w:t>Journal of Digital Learning in Teacher Education, 29</w:t>
      </w:r>
      <w:r>
        <w:rPr>
          <w:color w:val="000000"/>
        </w:rPr>
        <w:t xml:space="preserve">(3), 89-96. </w:t>
      </w:r>
    </w:p>
    <w:p w14:paraId="7F65C860" w14:textId="77777777" w:rsidR="002F3598" w:rsidRDefault="002F3598" w:rsidP="002F3598"/>
    <w:p w14:paraId="3B27DB8A" w14:textId="77777777" w:rsidR="0071183C" w:rsidRDefault="0071183C" w:rsidP="0071183C">
      <w:pPr>
        <w:pStyle w:val="NormalWeb"/>
        <w:spacing w:before="0" w:beforeAutospacing="0" w:after="0" w:afterAutospacing="0" w:line="480" w:lineRule="auto"/>
      </w:pPr>
      <w:r>
        <w:rPr>
          <w:color w:val="000000"/>
        </w:rPr>
        <w:t>Harris, J., Mishra, P., &amp; Koehler, M. (2009). Teachers’ technological pedagogical content </w:t>
      </w:r>
    </w:p>
    <w:p w14:paraId="031E0D03" w14:textId="77777777" w:rsidR="0071183C" w:rsidRDefault="0071183C" w:rsidP="0071183C">
      <w:pPr>
        <w:pStyle w:val="NormalWeb"/>
        <w:spacing w:before="0" w:beforeAutospacing="0" w:after="0" w:afterAutospacing="0" w:line="480" w:lineRule="auto"/>
        <w:ind w:firstLine="720"/>
      </w:pPr>
      <w:r>
        <w:rPr>
          <w:color w:val="000000"/>
        </w:rPr>
        <w:t>knowledge and learning activity types: Curriculum-based technology integration </w:t>
      </w:r>
    </w:p>
    <w:p w14:paraId="32E5D155" w14:textId="15B8FA8C" w:rsidR="0071183C" w:rsidRDefault="0071183C" w:rsidP="0071183C">
      <w:pPr>
        <w:rPr>
          <w:color w:val="000000"/>
        </w:rPr>
      </w:pPr>
      <w:r>
        <w:rPr>
          <w:color w:val="000000"/>
        </w:rPr>
        <w:t xml:space="preserve">             </w:t>
      </w:r>
      <w:r>
        <w:rPr>
          <w:color w:val="000000"/>
        </w:rPr>
        <w:t xml:space="preserve">reframed. </w:t>
      </w:r>
      <w:r>
        <w:rPr>
          <w:i/>
          <w:iCs/>
          <w:color w:val="000000"/>
        </w:rPr>
        <w:t>Journal of Research on Technology in Education</w:t>
      </w:r>
      <w:r>
        <w:rPr>
          <w:color w:val="000000"/>
        </w:rPr>
        <w:t xml:space="preserve">, </w:t>
      </w:r>
      <w:r>
        <w:rPr>
          <w:i/>
          <w:iCs/>
          <w:color w:val="000000"/>
        </w:rPr>
        <w:t>41</w:t>
      </w:r>
      <w:r>
        <w:rPr>
          <w:color w:val="000000"/>
        </w:rPr>
        <w:t xml:space="preserve">(4), 393-416. </w:t>
      </w:r>
    </w:p>
    <w:p w14:paraId="747085F4" w14:textId="77777777" w:rsidR="00E921F9" w:rsidRDefault="00E921F9" w:rsidP="0071183C"/>
    <w:p w14:paraId="3B461D81" w14:textId="77777777" w:rsidR="00E921F9" w:rsidRDefault="00E921F9" w:rsidP="00E921F9">
      <w:pPr>
        <w:spacing w:line="480" w:lineRule="auto"/>
        <w:ind w:left="720" w:hanging="720"/>
      </w:pPr>
      <w:r>
        <w:t xml:space="preserve">Jones, M. H., &amp; Mueller, C. E. (2017). The Relationship among achievement goals, Standardized test scores, and elementary students’ focus in school. </w:t>
      </w:r>
      <w:r>
        <w:rPr>
          <w:i/>
          <w:iCs/>
        </w:rPr>
        <w:t>Psychology in the Schools</w:t>
      </w:r>
      <w:r>
        <w:t xml:space="preserve">, </w:t>
      </w:r>
      <w:r>
        <w:rPr>
          <w:i/>
          <w:iCs/>
        </w:rPr>
        <w:t>54</w:t>
      </w:r>
      <w:r>
        <w:t xml:space="preserve">(9), 979–990. </w:t>
      </w:r>
    </w:p>
    <w:p w14:paraId="58244E30" w14:textId="1EC0DCC1" w:rsidR="009314C6" w:rsidRPr="00A72A3F" w:rsidRDefault="009314C6" w:rsidP="009314C6">
      <w:pPr>
        <w:pStyle w:val="NormalWeb"/>
        <w:spacing w:before="0" w:beforeAutospacing="0" w:after="0" w:afterAutospacing="0" w:line="480" w:lineRule="auto"/>
        <w:rPr>
          <w:rFonts w:eastAsiaTheme="minorHAnsi"/>
        </w:rPr>
      </w:pPr>
      <w:r w:rsidRPr="00A72A3F">
        <w:rPr>
          <w:rFonts w:eastAsiaTheme="minorHAnsi"/>
        </w:rPr>
        <w:t xml:space="preserve">Linn, R.L. (2000). Assessments and </w:t>
      </w:r>
      <w:r>
        <w:t>A</w:t>
      </w:r>
      <w:r w:rsidRPr="00A72A3F">
        <w:rPr>
          <w:rFonts w:eastAsiaTheme="minorHAnsi"/>
        </w:rPr>
        <w:t xml:space="preserve">ccountability. </w:t>
      </w:r>
      <w:r w:rsidRPr="00A72A3F">
        <w:rPr>
          <w:rFonts w:eastAsiaTheme="minorHAnsi"/>
          <w:i/>
        </w:rPr>
        <w:t>Educational Researcher, 29</w:t>
      </w:r>
      <w:r w:rsidRPr="00E921F9">
        <w:rPr>
          <w:rFonts w:eastAsiaTheme="minorHAnsi"/>
        </w:rPr>
        <w:t>(2)</w:t>
      </w:r>
      <w:r w:rsidR="00E921F9" w:rsidRPr="00E921F9">
        <w:rPr>
          <w:rFonts w:eastAsiaTheme="minorHAnsi"/>
        </w:rPr>
        <w:t xml:space="preserve">, </w:t>
      </w:r>
      <w:r w:rsidRPr="00A72A3F">
        <w:rPr>
          <w:rFonts w:eastAsiaTheme="minorHAnsi"/>
        </w:rPr>
        <w:t>4-16.</w:t>
      </w:r>
    </w:p>
    <w:p w14:paraId="72918F20" w14:textId="77777777" w:rsidR="00262606" w:rsidRDefault="00262606" w:rsidP="00262606">
      <w:pPr>
        <w:pStyle w:val="NormalWeb"/>
        <w:spacing w:before="0" w:beforeAutospacing="0" w:after="0" w:afterAutospacing="0" w:line="480" w:lineRule="auto"/>
      </w:pPr>
      <w:r>
        <w:rPr>
          <w:color w:val="000000"/>
        </w:rPr>
        <w:t>New Jersey Department of Education. (2014). Overview of revised professional development </w:t>
      </w:r>
    </w:p>
    <w:p w14:paraId="46925352" w14:textId="3FB7ACFB" w:rsidR="00262606" w:rsidRDefault="00262606" w:rsidP="00257373">
      <w:pPr>
        <w:pStyle w:val="NormalWeb"/>
        <w:spacing w:before="0" w:beforeAutospacing="0" w:after="0" w:afterAutospacing="0" w:line="480" w:lineRule="auto"/>
        <w:ind w:firstLine="720"/>
        <w:rPr>
          <w:color w:val="000000"/>
        </w:rPr>
      </w:pPr>
      <w:r>
        <w:rPr>
          <w:color w:val="000000"/>
        </w:rPr>
        <w:t>regulations.  </w:t>
      </w:r>
      <w:hyperlink r:id="rId7" w:history="1">
        <w:r w:rsidR="00257373" w:rsidRPr="001C73FE">
          <w:rPr>
            <w:rStyle w:val="Hyperlink"/>
          </w:rPr>
          <w:t>https://www.s</w:t>
        </w:r>
        <w:r w:rsidR="00257373" w:rsidRPr="001C73FE">
          <w:rPr>
            <w:rStyle w:val="Hyperlink"/>
          </w:rPr>
          <w:t>t</w:t>
        </w:r>
        <w:r w:rsidR="00257373" w:rsidRPr="001C73FE">
          <w:rPr>
            <w:rStyle w:val="Hyperlink"/>
          </w:rPr>
          <w:t>ate.nj.us/education/profdev/regs/pdoverview.pdf</w:t>
        </w:r>
      </w:hyperlink>
    </w:p>
    <w:p w14:paraId="34E57DF0" w14:textId="7E143E1B" w:rsidR="00257373" w:rsidRDefault="00257373" w:rsidP="00AF1F26">
      <w:pPr>
        <w:spacing w:line="480" w:lineRule="auto"/>
        <w:ind w:left="720" w:hanging="720"/>
      </w:pPr>
      <w:r>
        <w:t xml:space="preserve">Nunnery, J. A., Ross, S. M., &amp; McDonald, A. (2006). A </w:t>
      </w:r>
      <w:r w:rsidR="00E921F9">
        <w:t>r</w:t>
      </w:r>
      <w:r>
        <w:t xml:space="preserve">andomized </w:t>
      </w:r>
      <w:r w:rsidR="00E921F9">
        <w:t>e</w:t>
      </w:r>
      <w:r>
        <w:t xml:space="preserve">xperimental </w:t>
      </w:r>
      <w:r w:rsidR="00E921F9">
        <w:t>e</w:t>
      </w:r>
      <w:r>
        <w:t xml:space="preserve">valuation of the </w:t>
      </w:r>
      <w:r w:rsidR="00E921F9">
        <w:t>i</w:t>
      </w:r>
      <w:r>
        <w:t xml:space="preserve">mpact of </w:t>
      </w:r>
      <w:r w:rsidR="00E921F9">
        <w:t>a</w:t>
      </w:r>
      <w:r>
        <w:t xml:space="preserve">ccelerated </w:t>
      </w:r>
      <w:r w:rsidR="00E921F9">
        <w:t>r</w:t>
      </w:r>
      <w:r>
        <w:t>eader/</w:t>
      </w:r>
      <w:r w:rsidR="00E921F9">
        <w:t>r</w:t>
      </w:r>
      <w:r>
        <w:t xml:space="preserve">eading </w:t>
      </w:r>
      <w:r w:rsidR="00E921F9">
        <w:t>r</w:t>
      </w:r>
      <w:r>
        <w:t xml:space="preserve">enaissance </w:t>
      </w:r>
      <w:r w:rsidR="00E921F9">
        <w:t>i</w:t>
      </w:r>
      <w:r>
        <w:t xml:space="preserve">mplementation on </w:t>
      </w:r>
      <w:r w:rsidR="00E921F9">
        <w:t>r</w:t>
      </w:r>
      <w:r>
        <w:t xml:space="preserve">eading </w:t>
      </w:r>
      <w:r w:rsidR="00E921F9">
        <w:t>a</w:t>
      </w:r>
      <w:r>
        <w:t xml:space="preserve">chievement in </w:t>
      </w:r>
      <w:r w:rsidR="00E921F9">
        <w:t>g</w:t>
      </w:r>
      <w:r>
        <w:t xml:space="preserve">rades 3 to 6. </w:t>
      </w:r>
      <w:r>
        <w:rPr>
          <w:i/>
          <w:iCs/>
        </w:rPr>
        <w:t>Journal of Education for Students Placed at Risk</w:t>
      </w:r>
      <w:r>
        <w:t xml:space="preserve">, </w:t>
      </w:r>
      <w:r>
        <w:rPr>
          <w:i/>
          <w:iCs/>
        </w:rPr>
        <w:t>11</w:t>
      </w:r>
      <w:r>
        <w:t xml:space="preserve">(1), 1–18. </w:t>
      </w:r>
    </w:p>
    <w:p w14:paraId="20970144" w14:textId="252C7236" w:rsidR="009314C6" w:rsidRPr="00707D3B" w:rsidRDefault="009314C6" w:rsidP="009314C6">
      <w:pPr>
        <w:spacing w:line="480" w:lineRule="auto"/>
        <w:ind w:left="720" w:hanging="720"/>
        <w:rPr>
          <w:rStyle w:val="Hyperlink"/>
          <w:color w:val="auto"/>
        </w:rPr>
      </w:pPr>
      <w:r w:rsidRPr="008D6644">
        <w:rPr>
          <w:rFonts w:eastAsiaTheme="minorHAnsi"/>
        </w:rPr>
        <w:t xml:space="preserve">Popham, J.W. (1999). Why </w:t>
      </w:r>
      <w:r w:rsidR="00E921F9">
        <w:t>s</w:t>
      </w:r>
      <w:r w:rsidRPr="008D6644">
        <w:rPr>
          <w:rFonts w:eastAsiaTheme="minorHAnsi"/>
        </w:rPr>
        <w:t xml:space="preserve">tandardized </w:t>
      </w:r>
      <w:r w:rsidR="00E921F9">
        <w:t>t</w:t>
      </w:r>
      <w:r w:rsidRPr="008D6644">
        <w:rPr>
          <w:rFonts w:eastAsiaTheme="minorHAnsi"/>
        </w:rPr>
        <w:t xml:space="preserve">est </w:t>
      </w:r>
      <w:r w:rsidR="00E921F9">
        <w:t>s</w:t>
      </w:r>
      <w:r w:rsidRPr="008D6644">
        <w:rPr>
          <w:rFonts w:eastAsiaTheme="minorHAnsi"/>
        </w:rPr>
        <w:t xml:space="preserve">cores </w:t>
      </w:r>
      <w:r w:rsidR="00E921F9">
        <w:t>d</w:t>
      </w:r>
      <w:r w:rsidRPr="008D6644">
        <w:rPr>
          <w:rFonts w:eastAsiaTheme="minorHAnsi"/>
        </w:rPr>
        <w:t xml:space="preserve">on’t </w:t>
      </w:r>
      <w:r w:rsidR="00E921F9">
        <w:t>m</w:t>
      </w:r>
      <w:r w:rsidRPr="008D6644">
        <w:rPr>
          <w:rFonts w:eastAsiaTheme="minorHAnsi"/>
        </w:rPr>
        <w:t xml:space="preserve">easure </w:t>
      </w:r>
      <w:r w:rsidR="00E921F9">
        <w:t>e</w:t>
      </w:r>
      <w:r w:rsidRPr="008D6644">
        <w:rPr>
          <w:rFonts w:eastAsiaTheme="minorHAnsi"/>
        </w:rPr>
        <w:t xml:space="preserve">ducational </w:t>
      </w:r>
      <w:r w:rsidR="00E921F9">
        <w:t>q</w:t>
      </w:r>
      <w:r w:rsidRPr="008D6644">
        <w:rPr>
          <w:rFonts w:eastAsiaTheme="minorHAnsi"/>
        </w:rPr>
        <w:t xml:space="preserve">uality. </w:t>
      </w:r>
      <w:r w:rsidRPr="008D6644">
        <w:rPr>
          <w:rFonts w:eastAsiaTheme="minorHAnsi"/>
          <w:i/>
        </w:rPr>
        <w:t>Educational Leadership,</w:t>
      </w:r>
      <w:r w:rsidRPr="008D6644">
        <w:rPr>
          <w:rFonts w:eastAsiaTheme="minorHAnsi"/>
        </w:rPr>
        <w:t xml:space="preserve"> </w:t>
      </w:r>
      <w:r w:rsidRPr="008D6644">
        <w:rPr>
          <w:rFonts w:eastAsiaTheme="minorHAnsi"/>
          <w:i/>
        </w:rPr>
        <w:t>56</w:t>
      </w:r>
      <w:r w:rsidRPr="00E921F9">
        <w:rPr>
          <w:rFonts w:eastAsiaTheme="minorHAnsi"/>
        </w:rPr>
        <w:t>(6),</w:t>
      </w:r>
      <w:r w:rsidRPr="008D6644">
        <w:rPr>
          <w:rFonts w:eastAsiaTheme="minorHAnsi"/>
        </w:rPr>
        <w:t xml:space="preserve"> 8-15.</w:t>
      </w:r>
    </w:p>
    <w:p w14:paraId="2D9144F5" w14:textId="1EC0384B" w:rsidR="009314C6" w:rsidRDefault="009314C6" w:rsidP="009314C6">
      <w:pPr>
        <w:spacing w:line="480" w:lineRule="auto"/>
        <w:ind w:left="720" w:hanging="720"/>
        <w:rPr>
          <w:rFonts w:ascii="Arial" w:hAnsi="Arial" w:cs="Arial"/>
          <w:sz w:val="21"/>
          <w:szCs w:val="21"/>
        </w:rPr>
      </w:pPr>
      <w:r>
        <w:rPr>
          <w:rFonts w:eastAsia="Calibri"/>
          <w:color w:val="000000" w:themeColor="text1"/>
        </w:rPr>
        <w:t xml:space="preserve">Walker, C., Greene, B., Mansell. (2006). Identification with </w:t>
      </w:r>
      <w:r w:rsidR="00E921F9">
        <w:rPr>
          <w:rFonts w:eastAsia="Calibri"/>
          <w:color w:val="000000" w:themeColor="text1"/>
        </w:rPr>
        <w:t>a</w:t>
      </w:r>
      <w:r>
        <w:rPr>
          <w:rFonts w:eastAsia="Calibri"/>
          <w:color w:val="000000" w:themeColor="text1"/>
        </w:rPr>
        <w:t xml:space="preserve">cademics, </w:t>
      </w:r>
      <w:r w:rsidR="00E921F9">
        <w:rPr>
          <w:rFonts w:eastAsia="Calibri"/>
          <w:color w:val="000000" w:themeColor="text1"/>
        </w:rPr>
        <w:t>i</w:t>
      </w:r>
      <w:r>
        <w:rPr>
          <w:rFonts w:eastAsia="Calibri"/>
          <w:color w:val="000000" w:themeColor="text1"/>
        </w:rPr>
        <w:t>ntrinsic/</w:t>
      </w:r>
      <w:r w:rsidR="00E921F9">
        <w:rPr>
          <w:rFonts w:eastAsia="Calibri"/>
          <w:color w:val="000000" w:themeColor="text1"/>
        </w:rPr>
        <w:t>e</w:t>
      </w:r>
      <w:r>
        <w:rPr>
          <w:rFonts w:eastAsia="Calibri"/>
          <w:color w:val="000000" w:themeColor="text1"/>
        </w:rPr>
        <w:t xml:space="preserve">xtrinsic </w:t>
      </w:r>
      <w:r w:rsidR="00E921F9">
        <w:rPr>
          <w:rFonts w:eastAsia="Calibri"/>
          <w:color w:val="000000" w:themeColor="text1"/>
        </w:rPr>
        <w:t>m</w:t>
      </w:r>
      <w:r>
        <w:rPr>
          <w:rFonts w:eastAsia="Calibri"/>
          <w:color w:val="000000" w:themeColor="text1"/>
        </w:rPr>
        <w:t xml:space="preserve">otivation, and </w:t>
      </w:r>
      <w:r w:rsidR="00E921F9">
        <w:rPr>
          <w:rFonts w:eastAsia="Calibri"/>
          <w:color w:val="000000" w:themeColor="text1"/>
        </w:rPr>
        <w:t>c</w:t>
      </w:r>
      <w:r>
        <w:rPr>
          <w:rFonts w:eastAsia="Calibri"/>
          <w:color w:val="000000" w:themeColor="text1"/>
        </w:rPr>
        <w:t xml:space="preserve">ognitive </w:t>
      </w:r>
      <w:r w:rsidR="00E921F9">
        <w:rPr>
          <w:rFonts w:eastAsia="Calibri"/>
          <w:color w:val="000000" w:themeColor="text1"/>
        </w:rPr>
        <w:t>e</w:t>
      </w:r>
      <w:r>
        <w:rPr>
          <w:rFonts w:eastAsia="Calibri"/>
          <w:color w:val="000000" w:themeColor="text1"/>
        </w:rPr>
        <w:t xml:space="preserve">ngagement. </w:t>
      </w:r>
      <w:r w:rsidRPr="00CF2504">
        <w:rPr>
          <w:rFonts w:eastAsia="Calibri"/>
          <w:i/>
          <w:color w:val="000000" w:themeColor="text1"/>
        </w:rPr>
        <w:t>Learning and Individual Differences</w:t>
      </w:r>
      <w:r>
        <w:rPr>
          <w:rFonts w:eastAsia="Calibri"/>
          <w:color w:val="000000" w:themeColor="text1"/>
        </w:rPr>
        <w:t xml:space="preserve">. Vol 16. Issue 1. </w:t>
      </w:r>
      <w:hyperlink r:id="rId8" w:history="1">
        <w:r w:rsidRPr="00114D73">
          <w:rPr>
            <w:rStyle w:val="Hyperlink"/>
            <w:rFonts w:ascii="Arial" w:hAnsi="Arial" w:cs="Arial"/>
            <w:sz w:val="21"/>
            <w:szCs w:val="21"/>
          </w:rPr>
          <w:t>https://doi.org/10.1016/</w:t>
        </w:r>
        <w:r w:rsidRPr="00114D73">
          <w:rPr>
            <w:rStyle w:val="Hyperlink"/>
            <w:rFonts w:ascii="Arial" w:hAnsi="Arial" w:cs="Arial"/>
            <w:sz w:val="21"/>
            <w:szCs w:val="21"/>
          </w:rPr>
          <w:t>j</w:t>
        </w:r>
        <w:r w:rsidRPr="00114D73">
          <w:rPr>
            <w:rStyle w:val="Hyperlink"/>
            <w:rFonts w:ascii="Arial" w:hAnsi="Arial" w:cs="Arial"/>
            <w:sz w:val="21"/>
            <w:szCs w:val="21"/>
          </w:rPr>
          <w:t>.lindif.2005.06.004</w:t>
        </w:r>
      </w:hyperlink>
      <w:r>
        <w:rPr>
          <w:rFonts w:ascii="Arial" w:hAnsi="Arial" w:cs="Arial"/>
          <w:sz w:val="21"/>
          <w:szCs w:val="21"/>
        </w:rPr>
        <w:t>.</w:t>
      </w:r>
    </w:p>
    <w:p w14:paraId="04721625" w14:textId="0BE6A340" w:rsidR="002C3FCB" w:rsidRDefault="002C3FCB" w:rsidP="002C3FCB">
      <w:pPr>
        <w:spacing w:line="480" w:lineRule="auto"/>
        <w:ind w:left="720" w:hanging="720"/>
      </w:pPr>
      <w:r>
        <w:lastRenderedPageBreak/>
        <w:t xml:space="preserve">Yurtseven </w:t>
      </w:r>
      <w:proofErr w:type="spellStart"/>
      <w:r>
        <w:t>Avci</w:t>
      </w:r>
      <w:proofErr w:type="spellEnd"/>
      <w:r>
        <w:t xml:space="preserve">, Z., </w:t>
      </w:r>
      <w:proofErr w:type="spellStart"/>
      <w:r>
        <w:t>O’Dwyer</w:t>
      </w:r>
      <w:proofErr w:type="spellEnd"/>
      <w:r>
        <w:t xml:space="preserve">, L. M., &amp; Lawson, J. (2020). Designing </w:t>
      </w:r>
      <w:r w:rsidR="00E921F9">
        <w:t>e</w:t>
      </w:r>
      <w:r>
        <w:t xml:space="preserve">ffective </w:t>
      </w:r>
      <w:r w:rsidR="00E921F9">
        <w:t>p</w:t>
      </w:r>
      <w:r>
        <w:t xml:space="preserve">rofessional </w:t>
      </w:r>
      <w:r w:rsidR="00E921F9">
        <w:t>d</w:t>
      </w:r>
      <w:r>
        <w:t xml:space="preserve">evelopment for </w:t>
      </w:r>
      <w:r w:rsidR="00E921F9">
        <w:t>t</w:t>
      </w:r>
      <w:r>
        <w:t xml:space="preserve">echnology </w:t>
      </w:r>
      <w:r w:rsidR="00E921F9">
        <w:t>i</w:t>
      </w:r>
      <w:r>
        <w:t xml:space="preserve">ntegration in </w:t>
      </w:r>
      <w:r w:rsidR="00E921F9">
        <w:t>s</w:t>
      </w:r>
      <w:r>
        <w:t xml:space="preserve">chools. </w:t>
      </w:r>
      <w:r>
        <w:rPr>
          <w:i/>
          <w:iCs/>
        </w:rPr>
        <w:t>Journal of Computer Assisted Learning</w:t>
      </w:r>
      <w:r>
        <w:t xml:space="preserve">, </w:t>
      </w:r>
      <w:r>
        <w:rPr>
          <w:i/>
          <w:iCs/>
        </w:rPr>
        <w:t>36</w:t>
      </w:r>
      <w:r>
        <w:t xml:space="preserve">(2), 160–177. </w:t>
      </w:r>
    </w:p>
    <w:p w14:paraId="2A11895F" w14:textId="7DCFC10C" w:rsidR="00E921F9" w:rsidRDefault="00E921F9" w:rsidP="002C3FCB">
      <w:pPr>
        <w:spacing w:line="480" w:lineRule="auto"/>
        <w:ind w:left="720" w:hanging="720"/>
      </w:pPr>
    </w:p>
    <w:p w14:paraId="262DEAC3" w14:textId="77777777" w:rsidR="00E921F9" w:rsidRDefault="00E921F9" w:rsidP="002C3FCB">
      <w:pPr>
        <w:spacing w:line="480" w:lineRule="auto"/>
        <w:ind w:left="720" w:hanging="720"/>
      </w:pPr>
      <w:bookmarkStart w:id="0" w:name="_GoBack"/>
      <w:bookmarkEnd w:id="0"/>
    </w:p>
    <w:p w14:paraId="67B7778C" w14:textId="77777777" w:rsidR="002C3FCB" w:rsidRPr="00CF2504" w:rsidRDefault="002C3FCB" w:rsidP="009314C6">
      <w:pPr>
        <w:spacing w:line="480" w:lineRule="auto"/>
        <w:ind w:left="720" w:hanging="720"/>
        <w:rPr>
          <w:rFonts w:eastAsia="Calibri"/>
          <w:color w:val="000000" w:themeColor="text1"/>
        </w:rPr>
      </w:pPr>
    </w:p>
    <w:p w14:paraId="7B6AA17B" w14:textId="77777777" w:rsidR="009314C6" w:rsidRPr="00F479E3" w:rsidRDefault="009314C6" w:rsidP="00F479E3">
      <w:pPr>
        <w:spacing w:line="480" w:lineRule="auto"/>
        <w:ind w:left="720" w:hanging="720"/>
      </w:pPr>
    </w:p>
    <w:sectPr w:rsidR="009314C6" w:rsidRPr="00F479E3" w:rsidSect="0069326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4857E" w14:textId="77777777" w:rsidR="005F112F" w:rsidRDefault="005F112F" w:rsidP="00F479E3">
      <w:r>
        <w:separator/>
      </w:r>
    </w:p>
  </w:endnote>
  <w:endnote w:type="continuationSeparator" w:id="0">
    <w:p w14:paraId="06F7D4D7" w14:textId="77777777" w:rsidR="005F112F" w:rsidRDefault="005F112F" w:rsidP="00F4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ibei SC">
    <w:panose1 w:val="03000800000000000000"/>
    <w:charset w:val="80"/>
    <w:family w:val="script"/>
    <w:pitch w:val="variable"/>
    <w:sig w:usb0="A00002FF" w:usb1="78CFFCFB" w:usb2="00080016" w:usb3="00000000" w:csb0="0006018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B654" w14:textId="77777777" w:rsidR="005F112F" w:rsidRDefault="005F112F" w:rsidP="00F479E3">
      <w:r>
        <w:separator/>
      </w:r>
    </w:p>
  </w:footnote>
  <w:footnote w:type="continuationSeparator" w:id="0">
    <w:p w14:paraId="7F4961EF" w14:textId="77777777" w:rsidR="005F112F" w:rsidRDefault="005F112F" w:rsidP="00F4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2452" w14:textId="77777777" w:rsidR="00F479E3" w:rsidRDefault="00F479E3">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40A"/>
    <w:multiLevelType w:val="multilevel"/>
    <w:tmpl w:val="4852C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64618"/>
    <w:multiLevelType w:val="multilevel"/>
    <w:tmpl w:val="9DC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C4406"/>
    <w:multiLevelType w:val="multilevel"/>
    <w:tmpl w:val="9480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E3"/>
    <w:rsid w:val="00005B0E"/>
    <w:rsid w:val="0000707F"/>
    <w:rsid w:val="00022CC9"/>
    <w:rsid w:val="00035CEC"/>
    <w:rsid w:val="000527A5"/>
    <w:rsid w:val="00073C0C"/>
    <w:rsid w:val="000A7C14"/>
    <w:rsid w:val="000B2F27"/>
    <w:rsid w:val="000E102A"/>
    <w:rsid w:val="000E2B06"/>
    <w:rsid w:val="000F1337"/>
    <w:rsid w:val="001138A5"/>
    <w:rsid w:val="00133493"/>
    <w:rsid w:val="00146E5A"/>
    <w:rsid w:val="001957E6"/>
    <w:rsid w:val="001A1ADF"/>
    <w:rsid w:val="001A1B33"/>
    <w:rsid w:val="001C109F"/>
    <w:rsid w:val="00204FC8"/>
    <w:rsid w:val="002155F2"/>
    <w:rsid w:val="00235379"/>
    <w:rsid w:val="00253197"/>
    <w:rsid w:val="00257373"/>
    <w:rsid w:val="00260AEA"/>
    <w:rsid w:val="00262606"/>
    <w:rsid w:val="0028772E"/>
    <w:rsid w:val="002951D9"/>
    <w:rsid w:val="002B451E"/>
    <w:rsid w:val="002B76B5"/>
    <w:rsid w:val="002C3FCB"/>
    <w:rsid w:val="002D1993"/>
    <w:rsid w:val="002F3598"/>
    <w:rsid w:val="002F48AB"/>
    <w:rsid w:val="00301E95"/>
    <w:rsid w:val="0031779D"/>
    <w:rsid w:val="00337F39"/>
    <w:rsid w:val="00341C89"/>
    <w:rsid w:val="003825BA"/>
    <w:rsid w:val="00392752"/>
    <w:rsid w:val="00393C73"/>
    <w:rsid w:val="00394A79"/>
    <w:rsid w:val="003955EC"/>
    <w:rsid w:val="003B0B23"/>
    <w:rsid w:val="003B0D07"/>
    <w:rsid w:val="003E7493"/>
    <w:rsid w:val="00405FB6"/>
    <w:rsid w:val="00446255"/>
    <w:rsid w:val="00450D51"/>
    <w:rsid w:val="004601D6"/>
    <w:rsid w:val="004663F1"/>
    <w:rsid w:val="004922AE"/>
    <w:rsid w:val="00525B84"/>
    <w:rsid w:val="005542DA"/>
    <w:rsid w:val="00556BB3"/>
    <w:rsid w:val="00566BE7"/>
    <w:rsid w:val="005C09E8"/>
    <w:rsid w:val="005F112F"/>
    <w:rsid w:val="0060344C"/>
    <w:rsid w:val="0060466E"/>
    <w:rsid w:val="0069326A"/>
    <w:rsid w:val="006A5DDA"/>
    <w:rsid w:val="006B0481"/>
    <w:rsid w:val="006C2162"/>
    <w:rsid w:val="006D4DA6"/>
    <w:rsid w:val="006E4FF2"/>
    <w:rsid w:val="00704D8F"/>
    <w:rsid w:val="007060AB"/>
    <w:rsid w:val="0070702F"/>
    <w:rsid w:val="0071183C"/>
    <w:rsid w:val="00715BFF"/>
    <w:rsid w:val="007326FB"/>
    <w:rsid w:val="00733AB8"/>
    <w:rsid w:val="00740EBC"/>
    <w:rsid w:val="007413E7"/>
    <w:rsid w:val="0074194A"/>
    <w:rsid w:val="00755837"/>
    <w:rsid w:val="00767FCD"/>
    <w:rsid w:val="0077587A"/>
    <w:rsid w:val="0079302E"/>
    <w:rsid w:val="007B4AFF"/>
    <w:rsid w:val="007C1A44"/>
    <w:rsid w:val="007D0450"/>
    <w:rsid w:val="0087382D"/>
    <w:rsid w:val="008A18A3"/>
    <w:rsid w:val="008C60E1"/>
    <w:rsid w:val="008E0233"/>
    <w:rsid w:val="00906632"/>
    <w:rsid w:val="00914A44"/>
    <w:rsid w:val="00923AAB"/>
    <w:rsid w:val="0092518F"/>
    <w:rsid w:val="009314C6"/>
    <w:rsid w:val="00954B0A"/>
    <w:rsid w:val="00972425"/>
    <w:rsid w:val="0099778A"/>
    <w:rsid w:val="009C14B0"/>
    <w:rsid w:val="009D05B0"/>
    <w:rsid w:val="009E3CE8"/>
    <w:rsid w:val="009E6C5D"/>
    <w:rsid w:val="009F6D9F"/>
    <w:rsid w:val="00A06DD9"/>
    <w:rsid w:val="00A738F6"/>
    <w:rsid w:val="00A81541"/>
    <w:rsid w:val="00A844E5"/>
    <w:rsid w:val="00A91427"/>
    <w:rsid w:val="00AC0EF0"/>
    <w:rsid w:val="00AC557F"/>
    <w:rsid w:val="00AF1F26"/>
    <w:rsid w:val="00B112C0"/>
    <w:rsid w:val="00B20A56"/>
    <w:rsid w:val="00B22E9C"/>
    <w:rsid w:val="00B45CBF"/>
    <w:rsid w:val="00B52CF0"/>
    <w:rsid w:val="00B75431"/>
    <w:rsid w:val="00B85BDB"/>
    <w:rsid w:val="00BA0C3C"/>
    <w:rsid w:val="00BB3F6D"/>
    <w:rsid w:val="00BE39FE"/>
    <w:rsid w:val="00BF7D21"/>
    <w:rsid w:val="00C04ABF"/>
    <w:rsid w:val="00C172A5"/>
    <w:rsid w:val="00C20CA6"/>
    <w:rsid w:val="00C46C08"/>
    <w:rsid w:val="00C92AB8"/>
    <w:rsid w:val="00C97B4A"/>
    <w:rsid w:val="00CC648F"/>
    <w:rsid w:val="00CC651B"/>
    <w:rsid w:val="00CC77BA"/>
    <w:rsid w:val="00CF4B7F"/>
    <w:rsid w:val="00CF6126"/>
    <w:rsid w:val="00D31A73"/>
    <w:rsid w:val="00D43622"/>
    <w:rsid w:val="00D70814"/>
    <w:rsid w:val="00D77368"/>
    <w:rsid w:val="00D8152F"/>
    <w:rsid w:val="00DB2DAF"/>
    <w:rsid w:val="00DB7541"/>
    <w:rsid w:val="00DB783F"/>
    <w:rsid w:val="00DD0833"/>
    <w:rsid w:val="00DD458C"/>
    <w:rsid w:val="00DF735F"/>
    <w:rsid w:val="00DF7704"/>
    <w:rsid w:val="00E255DD"/>
    <w:rsid w:val="00E30BEA"/>
    <w:rsid w:val="00E37A43"/>
    <w:rsid w:val="00E42838"/>
    <w:rsid w:val="00E535CF"/>
    <w:rsid w:val="00E65AEA"/>
    <w:rsid w:val="00E750BB"/>
    <w:rsid w:val="00E7725B"/>
    <w:rsid w:val="00E91D20"/>
    <w:rsid w:val="00E921F9"/>
    <w:rsid w:val="00E94DDF"/>
    <w:rsid w:val="00EA1AD6"/>
    <w:rsid w:val="00EA71A7"/>
    <w:rsid w:val="00EB7800"/>
    <w:rsid w:val="00F13003"/>
    <w:rsid w:val="00F203CE"/>
    <w:rsid w:val="00F21601"/>
    <w:rsid w:val="00F410DC"/>
    <w:rsid w:val="00F479E3"/>
    <w:rsid w:val="00F67C12"/>
    <w:rsid w:val="00F72386"/>
    <w:rsid w:val="00F81808"/>
    <w:rsid w:val="00F9410A"/>
    <w:rsid w:val="00FB2820"/>
    <w:rsid w:val="00FE43CF"/>
    <w:rsid w:val="00FF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1444"/>
  <w15:chartTrackingRefBased/>
  <w15:docId w15:val="{D86C8B57-7CF3-4606-841F-F4E7F2CD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83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F770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F77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9E3"/>
    <w:pPr>
      <w:tabs>
        <w:tab w:val="center" w:pos="4680"/>
        <w:tab w:val="right" w:pos="9360"/>
      </w:tabs>
    </w:pPr>
  </w:style>
  <w:style w:type="character" w:customStyle="1" w:styleId="HeaderChar">
    <w:name w:val="Header Char"/>
    <w:basedOn w:val="DefaultParagraphFont"/>
    <w:link w:val="Header"/>
    <w:uiPriority w:val="99"/>
    <w:rsid w:val="00F479E3"/>
  </w:style>
  <w:style w:type="paragraph" w:styleId="Footer">
    <w:name w:val="footer"/>
    <w:basedOn w:val="Normal"/>
    <w:link w:val="FooterChar"/>
    <w:uiPriority w:val="99"/>
    <w:unhideWhenUsed/>
    <w:rsid w:val="00F479E3"/>
    <w:pPr>
      <w:tabs>
        <w:tab w:val="center" w:pos="4680"/>
        <w:tab w:val="right" w:pos="9360"/>
      </w:tabs>
    </w:pPr>
  </w:style>
  <w:style w:type="character" w:customStyle="1" w:styleId="FooterChar">
    <w:name w:val="Footer Char"/>
    <w:basedOn w:val="DefaultParagraphFont"/>
    <w:link w:val="Footer"/>
    <w:uiPriority w:val="99"/>
    <w:rsid w:val="00F479E3"/>
  </w:style>
  <w:style w:type="character" w:styleId="Hyperlink">
    <w:name w:val="Hyperlink"/>
    <w:basedOn w:val="DefaultParagraphFont"/>
    <w:uiPriority w:val="99"/>
    <w:unhideWhenUsed/>
    <w:rsid w:val="00D8152F"/>
    <w:rPr>
      <w:color w:val="0563C1" w:themeColor="hyperlink"/>
      <w:u w:val="single"/>
    </w:rPr>
  </w:style>
  <w:style w:type="character" w:styleId="UnresolvedMention">
    <w:name w:val="Unresolved Mention"/>
    <w:basedOn w:val="DefaultParagraphFont"/>
    <w:uiPriority w:val="99"/>
    <w:semiHidden/>
    <w:unhideWhenUsed/>
    <w:rsid w:val="00D8152F"/>
    <w:rPr>
      <w:color w:val="605E5C"/>
      <w:shd w:val="clear" w:color="auto" w:fill="E1DFDD"/>
    </w:rPr>
  </w:style>
  <w:style w:type="paragraph" w:customStyle="1" w:styleId="body-paragraph">
    <w:name w:val="body-paragraph"/>
    <w:basedOn w:val="Normal"/>
    <w:rsid w:val="001A1B33"/>
    <w:pPr>
      <w:spacing w:before="100" w:beforeAutospacing="1" w:after="100" w:afterAutospacing="1"/>
    </w:pPr>
  </w:style>
  <w:style w:type="character" w:styleId="Emphasis">
    <w:name w:val="Emphasis"/>
    <w:basedOn w:val="DefaultParagraphFont"/>
    <w:uiPriority w:val="20"/>
    <w:qFormat/>
    <w:rsid w:val="006A5DDA"/>
    <w:rPr>
      <w:i/>
      <w:iCs/>
    </w:rPr>
  </w:style>
  <w:style w:type="paragraph" w:styleId="NormalWeb">
    <w:name w:val="Normal (Web)"/>
    <w:basedOn w:val="Normal"/>
    <w:uiPriority w:val="99"/>
    <w:unhideWhenUsed/>
    <w:rsid w:val="00767FCD"/>
    <w:pPr>
      <w:spacing w:before="100" w:beforeAutospacing="1" w:after="100" w:afterAutospacing="1"/>
    </w:pPr>
  </w:style>
  <w:style w:type="character" w:styleId="FollowedHyperlink">
    <w:name w:val="FollowedHyperlink"/>
    <w:basedOn w:val="DefaultParagraphFont"/>
    <w:uiPriority w:val="99"/>
    <w:semiHidden/>
    <w:unhideWhenUsed/>
    <w:rsid w:val="00E37A43"/>
    <w:rPr>
      <w:color w:val="954F72" w:themeColor="followedHyperlink"/>
      <w:u w:val="single"/>
    </w:rPr>
  </w:style>
  <w:style w:type="character" w:customStyle="1" w:styleId="Heading1Char">
    <w:name w:val="Heading 1 Char"/>
    <w:basedOn w:val="DefaultParagraphFont"/>
    <w:link w:val="Heading1"/>
    <w:uiPriority w:val="9"/>
    <w:rsid w:val="00DF7704"/>
    <w:rPr>
      <w:rFonts w:ascii="Times New Roman" w:eastAsia="Times New Roman" w:hAnsi="Times New Roman" w:cs="Times New Roman"/>
      <w:b/>
      <w:bCs/>
      <w:kern w:val="36"/>
      <w:sz w:val="48"/>
      <w:szCs w:val="48"/>
    </w:rPr>
  </w:style>
  <w:style w:type="character" w:customStyle="1" w:styleId="cat-links">
    <w:name w:val="cat-links"/>
    <w:basedOn w:val="DefaultParagraphFont"/>
    <w:rsid w:val="00DF7704"/>
  </w:style>
  <w:style w:type="character" w:customStyle="1" w:styleId="posted-on">
    <w:name w:val="posted-on"/>
    <w:basedOn w:val="DefaultParagraphFont"/>
    <w:rsid w:val="00DF7704"/>
  </w:style>
  <w:style w:type="character" w:customStyle="1" w:styleId="screen-reader-text">
    <w:name w:val="screen-reader-text"/>
    <w:basedOn w:val="DefaultParagraphFont"/>
    <w:rsid w:val="00DF7704"/>
  </w:style>
  <w:style w:type="character" w:customStyle="1" w:styleId="Heading2Char">
    <w:name w:val="Heading 2 Char"/>
    <w:basedOn w:val="DefaultParagraphFont"/>
    <w:link w:val="Heading2"/>
    <w:uiPriority w:val="9"/>
    <w:rsid w:val="00DF7704"/>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005B0E"/>
    <w:rPr>
      <w:b/>
      <w:bCs/>
    </w:rPr>
  </w:style>
  <w:style w:type="character" w:customStyle="1" w:styleId="httpswwwebaycomitmavantis-classvr-with-8-cvr-155-a-standalone-headsets-rugged-charging-case-352942783413">
    <w:name w:val="https://www.ebay.com/itm/avantis-classvr-with-8-cvr-155-a-standalone-headsets-rugged-charging-case-/352942783413"/>
    <w:basedOn w:val="DefaultParagraphFont"/>
    <w:rsid w:val="0099778A"/>
  </w:style>
  <w:style w:type="table" w:styleId="TableGrid">
    <w:name w:val="Table Grid"/>
    <w:basedOn w:val="TableNormal"/>
    <w:uiPriority w:val="39"/>
    <w:rsid w:val="0099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2B451E"/>
    <w:pPr>
      <w:widowControl w:val="0"/>
      <w:pBdr>
        <w:top w:val="nil"/>
        <w:left w:val="nil"/>
        <w:bottom w:val="nil"/>
        <w:right w:val="nil"/>
        <w:between w:val="nil"/>
      </w:pBdr>
      <w:jc w:val="center"/>
    </w:pPr>
    <w:rPr>
      <w:b/>
      <w:color w:val="000000"/>
    </w:rPr>
  </w:style>
  <w:style w:type="character" w:customStyle="1" w:styleId="TitleChar">
    <w:name w:val="Title Char"/>
    <w:basedOn w:val="DefaultParagraphFont"/>
    <w:link w:val="Title"/>
    <w:rsid w:val="002B451E"/>
    <w:rPr>
      <w:rFonts w:ascii="Times New Roman" w:eastAsia="Times New Roman" w:hAnsi="Times New Roman" w:cs="Times New Roman"/>
      <w:b/>
      <w:color w:val="000000"/>
      <w:sz w:val="24"/>
      <w:szCs w:val="24"/>
    </w:rPr>
  </w:style>
  <w:style w:type="paragraph" w:styleId="NoSpacing">
    <w:name w:val="No Spacing"/>
    <w:uiPriority w:val="1"/>
    <w:qFormat/>
    <w:rsid w:val="002B451E"/>
    <w:pPr>
      <w:spacing w:after="0"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057">
      <w:bodyDiv w:val="1"/>
      <w:marLeft w:val="0"/>
      <w:marRight w:val="0"/>
      <w:marTop w:val="0"/>
      <w:marBottom w:val="0"/>
      <w:divBdr>
        <w:top w:val="none" w:sz="0" w:space="0" w:color="auto"/>
        <w:left w:val="none" w:sz="0" w:space="0" w:color="auto"/>
        <w:bottom w:val="none" w:sz="0" w:space="0" w:color="auto"/>
        <w:right w:val="none" w:sz="0" w:space="0" w:color="auto"/>
      </w:divBdr>
    </w:div>
    <w:div w:id="69349848">
      <w:bodyDiv w:val="1"/>
      <w:marLeft w:val="0"/>
      <w:marRight w:val="0"/>
      <w:marTop w:val="0"/>
      <w:marBottom w:val="0"/>
      <w:divBdr>
        <w:top w:val="none" w:sz="0" w:space="0" w:color="auto"/>
        <w:left w:val="none" w:sz="0" w:space="0" w:color="auto"/>
        <w:bottom w:val="none" w:sz="0" w:space="0" w:color="auto"/>
        <w:right w:val="none" w:sz="0" w:space="0" w:color="auto"/>
      </w:divBdr>
    </w:div>
    <w:div w:id="181360851">
      <w:bodyDiv w:val="1"/>
      <w:marLeft w:val="0"/>
      <w:marRight w:val="0"/>
      <w:marTop w:val="0"/>
      <w:marBottom w:val="0"/>
      <w:divBdr>
        <w:top w:val="none" w:sz="0" w:space="0" w:color="auto"/>
        <w:left w:val="none" w:sz="0" w:space="0" w:color="auto"/>
        <w:bottom w:val="none" w:sz="0" w:space="0" w:color="auto"/>
        <w:right w:val="none" w:sz="0" w:space="0" w:color="auto"/>
      </w:divBdr>
    </w:div>
    <w:div w:id="241794632">
      <w:bodyDiv w:val="1"/>
      <w:marLeft w:val="0"/>
      <w:marRight w:val="0"/>
      <w:marTop w:val="0"/>
      <w:marBottom w:val="0"/>
      <w:divBdr>
        <w:top w:val="none" w:sz="0" w:space="0" w:color="auto"/>
        <w:left w:val="none" w:sz="0" w:space="0" w:color="auto"/>
        <w:bottom w:val="none" w:sz="0" w:space="0" w:color="auto"/>
        <w:right w:val="none" w:sz="0" w:space="0" w:color="auto"/>
      </w:divBdr>
    </w:div>
    <w:div w:id="289671009">
      <w:bodyDiv w:val="1"/>
      <w:marLeft w:val="0"/>
      <w:marRight w:val="0"/>
      <w:marTop w:val="0"/>
      <w:marBottom w:val="0"/>
      <w:divBdr>
        <w:top w:val="none" w:sz="0" w:space="0" w:color="auto"/>
        <w:left w:val="none" w:sz="0" w:space="0" w:color="auto"/>
        <w:bottom w:val="none" w:sz="0" w:space="0" w:color="auto"/>
        <w:right w:val="none" w:sz="0" w:space="0" w:color="auto"/>
      </w:divBdr>
    </w:div>
    <w:div w:id="310445302">
      <w:bodyDiv w:val="1"/>
      <w:marLeft w:val="0"/>
      <w:marRight w:val="0"/>
      <w:marTop w:val="0"/>
      <w:marBottom w:val="0"/>
      <w:divBdr>
        <w:top w:val="none" w:sz="0" w:space="0" w:color="auto"/>
        <w:left w:val="none" w:sz="0" w:space="0" w:color="auto"/>
        <w:bottom w:val="none" w:sz="0" w:space="0" w:color="auto"/>
        <w:right w:val="none" w:sz="0" w:space="0" w:color="auto"/>
      </w:divBdr>
    </w:div>
    <w:div w:id="358045930">
      <w:bodyDiv w:val="1"/>
      <w:marLeft w:val="0"/>
      <w:marRight w:val="0"/>
      <w:marTop w:val="0"/>
      <w:marBottom w:val="0"/>
      <w:divBdr>
        <w:top w:val="none" w:sz="0" w:space="0" w:color="auto"/>
        <w:left w:val="none" w:sz="0" w:space="0" w:color="auto"/>
        <w:bottom w:val="none" w:sz="0" w:space="0" w:color="auto"/>
        <w:right w:val="none" w:sz="0" w:space="0" w:color="auto"/>
      </w:divBdr>
    </w:div>
    <w:div w:id="372465451">
      <w:bodyDiv w:val="1"/>
      <w:marLeft w:val="0"/>
      <w:marRight w:val="0"/>
      <w:marTop w:val="0"/>
      <w:marBottom w:val="0"/>
      <w:divBdr>
        <w:top w:val="none" w:sz="0" w:space="0" w:color="auto"/>
        <w:left w:val="none" w:sz="0" w:space="0" w:color="auto"/>
        <w:bottom w:val="none" w:sz="0" w:space="0" w:color="auto"/>
        <w:right w:val="none" w:sz="0" w:space="0" w:color="auto"/>
      </w:divBdr>
      <w:divsChild>
        <w:div w:id="320810535">
          <w:marLeft w:val="0"/>
          <w:marRight w:val="0"/>
          <w:marTop w:val="0"/>
          <w:marBottom w:val="0"/>
          <w:divBdr>
            <w:top w:val="none" w:sz="0" w:space="0" w:color="auto"/>
            <w:left w:val="none" w:sz="0" w:space="0" w:color="auto"/>
            <w:bottom w:val="none" w:sz="0" w:space="0" w:color="auto"/>
            <w:right w:val="none" w:sz="0" w:space="0" w:color="auto"/>
          </w:divBdr>
        </w:div>
      </w:divsChild>
    </w:div>
    <w:div w:id="402988135">
      <w:bodyDiv w:val="1"/>
      <w:marLeft w:val="0"/>
      <w:marRight w:val="0"/>
      <w:marTop w:val="0"/>
      <w:marBottom w:val="0"/>
      <w:divBdr>
        <w:top w:val="none" w:sz="0" w:space="0" w:color="auto"/>
        <w:left w:val="none" w:sz="0" w:space="0" w:color="auto"/>
        <w:bottom w:val="none" w:sz="0" w:space="0" w:color="auto"/>
        <w:right w:val="none" w:sz="0" w:space="0" w:color="auto"/>
      </w:divBdr>
    </w:div>
    <w:div w:id="455176166">
      <w:bodyDiv w:val="1"/>
      <w:marLeft w:val="0"/>
      <w:marRight w:val="0"/>
      <w:marTop w:val="0"/>
      <w:marBottom w:val="0"/>
      <w:divBdr>
        <w:top w:val="none" w:sz="0" w:space="0" w:color="auto"/>
        <w:left w:val="none" w:sz="0" w:space="0" w:color="auto"/>
        <w:bottom w:val="none" w:sz="0" w:space="0" w:color="auto"/>
        <w:right w:val="none" w:sz="0" w:space="0" w:color="auto"/>
      </w:divBdr>
    </w:div>
    <w:div w:id="747776724">
      <w:bodyDiv w:val="1"/>
      <w:marLeft w:val="0"/>
      <w:marRight w:val="0"/>
      <w:marTop w:val="0"/>
      <w:marBottom w:val="0"/>
      <w:divBdr>
        <w:top w:val="none" w:sz="0" w:space="0" w:color="auto"/>
        <w:left w:val="none" w:sz="0" w:space="0" w:color="auto"/>
        <w:bottom w:val="none" w:sz="0" w:space="0" w:color="auto"/>
        <w:right w:val="none" w:sz="0" w:space="0" w:color="auto"/>
      </w:divBdr>
    </w:div>
    <w:div w:id="766509932">
      <w:bodyDiv w:val="1"/>
      <w:marLeft w:val="0"/>
      <w:marRight w:val="0"/>
      <w:marTop w:val="0"/>
      <w:marBottom w:val="0"/>
      <w:divBdr>
        <w:top w:val="none" w:sz="0" w:space="0" w:color="auto"/>
        <w:left w:val="none" w:sz="0" w:space="0" w:color="auto"/>
        <w:bottom w:val="none" w:sz="0" w:space="0" w:color="auto"/>
        <w:right w:val="none" w:sz="0" w:space="0" w:color="auto"/>
      </w:divBdr>
    </w:div>
    <w:div w:id="773013958">
      <w:bodyDiv w:val="1"/>
      <w:marLeft w:val="0"/>
      <w:marRight w:val="0"/>
      <w:marTop w:val="0"/>
      <w:marBottom w:val="0"/>
      <w:divBdr>
        <w:top w:val="none" w:sz="0" w:space="0" w:color="auto"/>
        <w:left w:val="none" w:sz="0" w:space="0" w:color="auto"/>
        <w:bottom w:val="none" w:sz="0" w:space="0" w:color="auto"/>
        <w:right w:val="none" w:sz="0" w:space="0" w:color="auto"/>
      </w:divBdr>
    </w:div>
    <w:div w:id="813254053">
      <w:bodyDiv w:val="1"/>
      <w:marLeft w:val="0"/>
      <w:marRight w:val="0"/>
      <w:marTop w:val="0"/>
      <w:marBottom w:val="0"/>
      <w:divBdr>
        <w:top w:val="none" w:sz="0" w:space="0" w:color="auto"/>
        <w:left w:val="none" w:sz="0" w:space="0" w:color="auto"/>
        <w:bottom w:val="none" w:sz="0" w:space="0" w:color="auto"/>
        <w:right w:val="none" w:sz="0" w:space="0" w:color="auto"/>
      </w:divBdr>
    </w:div>
    <w:div w:id="878276057">
      <w:bodyDiv w:val="1"/>
      <w:marLeft w:val="0"/>
      <w:marRight w:val="0"/>
      <w:marTop w:val="0"/>
      <w:marBottom w:val="0"/>
      <w:divBdr>
        <w:top w:val="none" w:sz="0" w:space="0" w:color="auto"/>
        <w:left w:val="none" w:sz="0" w:space="0" w:color="auto"/>
        <w:bottom w:val="none" w:sz="0" w:space="0" w:color="auto"/>
        <w:right w:val="none" w:sz="0" w:space="0" w:color="auto"/>
      </w:divBdr>
    </w:div>
    <w:div w:id="893586558">
      <w:bodyDiv w:val="1"/>
      <w:marLeft w:val="0"/>
      <w:marRight w:val="0"/>
      <w:marTop w:val="0"/>
      <w:marBottom w:val="0"/>
      <w:divBdr>
        <w:top w:val="none" w:sz="0" w:space="0" w:color="auto"/>
        <w:left w:val="none" w:sz="0" w:space="0" w:color="auto"/>
        <w:bottom w:val="none" w:sz="0" w:space="0" w:color="auto"/>
        <w:right w:val="none" w:sz="0" w:space="0" w:color="auto"/>
      </w:divBdr>
    </w:div>
    <w:div w:id="1050611590">
      <w:bodyDiv w:val="1"/>
      <w:marLeft w:val="0"/>
      <w:marRight w:val="0"/>
      <w:marTop w:val="0"/>
      <w:marBottom w:val="0"/>
      <w:divBdr>
        <w:top w:val="none" w:sz="0" w:space="0" w:color="auto"/>
        <w:left w:val="none" w:sz="0" w:space="0" w:color="auto"/>
        <w:bottom w:val="none" w:sz="0" w:space="0" w:color="auto"/>
        <w:right w:val="none" w:sz="0" w:space="0" w:color="auto"/>
      </w:divBdr>
    </w:div>
    <w:div w:id="1117333100">
      <w:bodyDiv w:val="1"/>
      <w:marLeft w:val="0"/>
      <w:marRight w:val="0"/>
      <w:marTop w:val="0"/>
      <w:marBottom w:val="0"/>
      <w:divBdr>
        <w:top w:val="none" w:sz="0" w:space="0" w:color="auto"/>
        <w:left w:val="none" w:sz="0" w:space="0" w:color="auto"/>
        <w:bottom w:val="none" w:sz="0" w:space="0" w:color="auto"/>
        <w:right w:val="none" w:sz="0" w:space="0" w:color="auto"/>
      </w:divBdr>
    </w:div>
    <w:div w:id="1118643871">
      <w:bodyDiv w:val="1"/>
      <w:marLeft w:val="0"/>
      <w:marRight w:val="0"/>
      <w:marTop w:val="0"/>
      <w:marBottom w:val="0"/>
      <w:divBdr>
        <w:top w:val="none" w:sz="0" w:space="0" w:color="auto"/>
        <w:left w:val="none" w:sz="0" w:space="0" w:color="auto"/>
        <w:bottom w:val="none" w:sz="0" w:space="0" w:color="auto"/>
        <w:right w:val="none" w:sz="0" w:space="0" w:color="auto"/>
      </w:divBdr>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
    <w:div w:id="1168447362">
      <w:bodyDiv w:val="1"/>
      <w:marLeft w:val="0"/>
      <w:marRight w:val="0"/>
      <w:marTop w:val="0"/>
      <w:marBottom w:val="0"/>
      <w:divBdr>
        <w:top w:val="none" w:sz="0" w:space="0" w:color="auto"/>
        <w:left w:val="none" w:sz="0" w:space="0" w:color="auto"/>
        <w:bottom w:val="none" w:sz="0" w:space="0" w:color="auto"/>
        <w:right w:val="none" w:sz="0" w:space="0" w:color="auto"/>
      </w:divBdr>
    </w:div>
    <w:div w:id="1207795125">
      <w:bodyDiv w:val="1"/>
      <w:marLeft w:val="0"/>
      <w:marRight w:val="0"/>
      <w:marTop w:val="0"/>
      <w:marBottom w:val="0"/>
      <w:divBdr>
        <w:top w:val="none" w:sz="0" w:space="0" w:color="auto"/>
        <w:left w:val="none" w:sz="0" w:space="0" w:color="auto"/>
        <w:bottom w:val="none" w:sz="0" w:space="0" w:color="auto"/>
        <w:right w:val="none" w:sz="0" w:space="0" w:color="auto"/>
      </w:divBdr>
    </w:div>
    <w:div w:id="1236555164">
      <w:bodyDiv w:val="1"/>
      <w:marLeft w:val="0"/>
      <w:marRight w:val="0"/>
      <w:marTop w:val="0"/>
      <w:marBottom w:val="0"/>
      <w:divBdr>
        <w:top w:val="none" w:sz="0" w:space="0" w:color="auto"/>
        <w:left w:val="none" w:sz="0" w:space="0" w:color="auto"/>
        <w:bottom w:val="none" w:sz="0" w:space="0" w:color="auto"/>
        <w:right w:val="none" w:sz="0" w:space="0" w:color="auto"/>
      </w:divBdr>
    </w:div>
    <w:div w:id="1315062112">
      <w:bodyDiv w:val="1"/>
      <w:marLeft w:val="0"/>
      <w:marRight w:val="0"/>
      <w:marTop w:val="0"/>
      <w:marBottom w:val="0"/>
      <w:divBdr>
        <w:top w:val="none" w:sz="0" w:space="0" w:color="auto"/>
        <w:left w:val="none" w:sz="0" w:space="0" w:color="auto"/>
        <w:bottom w:val="none" w:sz="0" w:space="0" w:color="auto"/>
        <w:right w:val="none" w:sz="0" w:space="0" w:color="auto"/>
      </w:divBdr>
    </w:div>
    <w:div w:id="1328754187">
      <w:bodyDiv w:val="1"/>
      <w:marLeft w:val="0"/>
      <w:marRight w:val="0"/>
      <w:marTop w:val="0"/>
      <w:marBottom w:val="0"/>
      <w:divBdr>
        <w:top w:val="none" w:sz="0" w:space="0" w:color="auto"/>
        <w:left w:val="none" w:sz="0" w:space="0" w:color="auto"/>
        <w:bottom w:val="none" w:sz="0" w:space="0" w:color="auto"/>
        <w:right w:val="none" w:sz="0" w:space="0" w:color="auto"/>
      </w:divBdr>
    </w:div>
    <w:div w:id="1342706549">
      <w:bodyDiv w:val="1"/>
      <w:marLeft w:val="0"/>
      <w:marRight w:val="0"/>
      <w:marTop w:val="0"/>
      <w:marBottom w:val="0"/>
      <w:divBdr>
        <w:top w:val="none" w:sz="0" w:space="0" w:color="auto"/>
        <w:left w:val="none" w:sz="0" w:space="0" w:color="auto"/>
        <w:bottom w:val="none" w:sz="0" w:space="0" w:color="auto"/>
        <w:right w:val="none" w:sz="0" w:space="0" w:color="auto"/>
      </w:divBdr>
    </w:div>
    <w:div w:id="1496844592">
      <w:bodyDiv w:val="1"/>
      <w:marLeft w:val="0"/>
      <w:marRight w:val="0"/>
      <w:marTop w:val="0"/>
      <w:marBottom w:val="0"/>
      <w:divBdr>
        <w:top w:val="none" w:sz="0" w:space="0" w:color="auto"/>
        <w:left w:val="none" w:sz="0" w:space="0" w:color="auto"/>
        <w:bottom w:val="none" w:sz="0" w:space="0" w:color="auto"/>
        <w:right w:val="none" w:sz="0" w:space="0" w:color="auto"/>
      </w:divBdr>
    </w:div>
    <w:div w:id="1509253375">
      <w:bodyDiv w:val="1"/>
      <w:marLeft w:val="0"/>
      <w:marRight w:val="0"/>
      <w:marTop w:val="0"/>
      <w:marBottom w:val="0"/>
      <w:divBdr>
        <w:top w:val="none" w:sz="0" w:space="0" w:color="auto"/>
        <w:left w:val="none" w:sz="0" w:space="0" w:color="auto"/>
        <w:bottom w:val="none" w:sz="0" w:space="0" w:color="auto"/>
        <w:right w:val="none" w:sz="0" w:space="0" w:color="auto"/>
      </w:divBdr>
    </w:div>
    <w:div w:id="1556813295">
      <w:bodyDiv w:val="1"/>
      <w:marLeft w:val="0"/>
      <w:marRight w:val="0"/>
      <w:marTop w:val="0"/>
      <w:marBottom w:val="0"/>
      <w:divBdr>
        <w:top w:val="none" w:sz="0" w:space="0" w:color="auto"/>
        <w:left w:val="none" w:sz="0" w:space="0" w:color="auto"/>
        <w:bottom w:val="none" w:sz="0" w:space="0" w:color="auto"/>
        <w:right w:val="none" w:sz="0" w:space="0" w:color="auto"/>
      </w:divBdr>
    </w:div>
    <w:div w:id="1583375454">
      <w:bodyDiv w:val="1"/>
      <w:marLeft w:val="0"/>
      <w:marRight w:val="0"/>
      <w:marTop w:val="0"/>
      <w:marBottom w:val="0"/>
      <w:divBdr>
        <w:top w:val="none" w:sz="0" w:space="0" w:color="auto"/>
        <w:left w:val="none" w:sz="0" w:space="0" w:color="auto"/>
        <w:bottom w:val="none" w:sz="0" w:space="0" w:color="auto"/>
        <w:right w:val="none" w:sz="0" w:space="0" w:color="auto"/>
      </w:divBdr>
    </w:div>
    <w:div w:id="1647934893">
      <w:bodyDiv w:val="1"/>
      <w:marLeft w:val="0"/>
      <w:marRight w:val="0"/>
      <w:marTop w:val="0"/>
      <w:marBottom w:val="0"/>
      <w:divBdr>
        <w:top w:val="none" w:sz="0" w:space="0" w:color="auto"/>
        <w:left w:val="none" w:sz="0" w:space="0" w:color="auto"/>
        <w:bottom w:val="none" w:sz="0" w:space="0" w:color="auto"/>
        <w:right w:val="none" w:sz="0" w:space="0" w:color="auto"/>
      </w:divBdr>
    </w:div>
    <w:div w:id="1726643124">
      <w:bodyDiv w:val="1"/>
      <w:marLeft w:val="0"/>
      <w:marRight w:val="0"/>
      <w:marTop w:val="0"/>
      <w:marBottom w:val="0"/>
      <w:divBdr>
        <w:top w:val="none" w:sz="0" w:space="0" w:color="auto"/>
        <w:left w:val="none" w:sz="0" w:space="0" w:color="auto"/>
        <w:bottom w:val="none" w:sz="0" w:space="0" w:color="auto"/>
        <w:right w:val="none" w:sz="0" w:space="0" w:color="auto"/>
      </w:divBdr>
    </w:div>
    <w:div w:id="1733624102">
      <w:bodyDiv w:val="1"/>
      <w:marLeft w:val="0"/>
      <w:marRight w:val="0"/>
      <w:marTop w:val="0"/>
      <w:marBottom w:val="0"/>
      <w:divBdr>
        <w:top w:val="none" w:sz="0" w:space="0" w:color="auto"/>
        <w:left w:val="none" w:sz="0" w:space="0" w:color="auto"/>
        <w:bottom w:val="none" w:sz="0" w:space="0" w:color="auto"/>
        <w:right w:val="none" w:sz="0" w:space="0" w:color="auto"/>
      </w:divBdr>
    </w:div>
    <w:div w:id="1781992178">
      <w:bodyDiv w:val="1"/>
      <w:marLeft w:val="0"/>
      <w:marRight w:val="0"/>
      <w:marTop w:val="0"/>
      <w:marBottom w:val="0"/>
      <w:divBdr>
        <w:top w:val="none" w:sz="0" w:space="0" w:color="auto"/>
        <w:left w:val="none" w:sz="0" w:space="0" w:color="auto"/>
        <w:bottom w:val="none" w:sz="0" w:space="0" w:color="auto"/>
        <w:right w:val="none" w:sz="0" w:space="0" w:color="auto"/>
      </w:divBdr>
    </w:div>
    <w:div w:id="1790082992">
      <w:bodyDiv w:val="1"/>
      <w:marLeft w:val="0"/>
      <w:marRight w:val="0"/>
      <w:marTop w:val="0"/>
      <w:marBottom w:val="0"/>
      <w:divBdr>
        <w:top w:val="none" w:sz="0" w:space="0" w:color="auto"/>
        <w:left w:val="none" w:sz="0" w:space="0" w:color="auto"/>
        <w:bottom w:val="none" w:sz="0" w:space="0" w:color="auto"/>
        <w:right w:val="none" w:sz="0" w:space="0" w:color="auto"/>
      </w:divBdr>
    </w:div>
    <w:div w:id="1840926107">
      <w:bodyDiv w:val="1"/>
      <w:marLeft w:val="0"/>
      <w:marRight w:val="0"/>
      <w:marTop w:val="0"/>
      <w:marBottom w:val="0"/>
      <w:divBdr>
        <w:top w:val="none" w:sz="0" w:space="0" w:color="auto"/>
        <w:left w:val="none" w:sz="0" w:space="0" w:color="auto"/>
        <w:bottom w:val="none" w:sz="0" w:space="0" w:color="auto"/>
        <w:right w:val="none" w:sz="0" w:space="0" w:color="auto"/>
      </w:divBdr>
    </w:div>
    <w:div w:id="1893810115">
      <w:bodyDiv w:val="1"/>
      <w:marLeft w:val="0"/>
      <w:marRight w:val="0"/>
      <w:marTop w:val="0"/>
      <w:marBottom w:val="0"/>
      <w:divBdr>
        <w:top w:val="none" w:sz="0" w:space="0" w:color="auto"/>
        <w:left w:val="none" w:sz="0" w:space="0" w:color="auto"/>
        <w:bottom w:val="none" w:sz="0" w:space="0" w:color="auto"/>
        <w:right w:val="none" w:sz="0" w:space="0" w:color="auto"/>
      </w:divBdr>
    </w:div>
    <w:div w:id="1989439657">
      <w:bodyDiv w:val="1"/>
      <w:marLeft w:val="0"/>
      <w:marRight w:val="0"/>
      <w:marTop w:val="0"/>
      <w:marBottom w:val="0"/>
      <w:divBdr>
        <w:top w:val="none" w:sz="0" w:space="0" w:color="auto"/>
        <w:left w:val="none" w:sz="0" w:space="0" w:color="auto"/>
        <w:bottom w:val="none" w:sz="0" w:space="0" w:color="auto"/>
        <w:right w:val="none" w:sz="0" w:space="0" w:color="auto"/>
      </w:divBdr>
    </w:div>
    <w:div w:id="2063945950">
      <w:bodyDiv w:val="1"/>
      <w:marLeft w:val="0"/>
      <w:marRight w:val="0"/>
      <w:marTop w:val="0"/>
      <w:marBottom w:val="0"/>
      <w:divBdr>
        <w:top w:val="none" w:sz="0" w:space="0" w:color="auto"/>
        <w:left w:val="none" w:sz="0" w:space="0" w:color="auto"/>
        <w:bottom w:val="none" w:sz="0" w:space="0" w:color="auto"/>
        <w:right w:val="none" w:sz="0" w:space="0" w:color="auto"/>
      </w:divBdr>
    </w:div>
    <w:div w:id="2116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indif.2005.06.004" TargetMode="External"/><Relationship Id="rId3" Type="http://schemas.openxmlformats.org/officeDocument/2006/relationships/settings" Target="settings.xml"/><Relationship Id="rId7" Type="http://schemas.openxmlformats.org/officeDocument/2006/relationships/hyperlink" Target="https://www.state.nj.us/education/profdev/regs/pdover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9</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Santa Fe College</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Matthews</dc:creator>
  <cp:keywords/>
  <dc:description/>
  <cp:lastModifiedBy>dkochar@patersoncharter.org</cp:lastModifiedBy>
  <cp:revision>27</cp:revision>
  <cp:lastPrinted>2020-08-03T03:06:00Z</cp:lastPrinted>
  <dcterms:created xsi:type="dcterms:W3CDTF">2020-08-02T20:20:00Z</dcterms:created>
  <dcterms:modified xsi:type="dcterms:W3CDTF">2020-08-03T04:01:00Z</dcterms:modified>
</cp:coreProperties>
</file>